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78" w:rsidRPr="00972678" w:rsidRDefault="005638BC" w:rsidP="00E230FE">
      <w:pPr>
        <w:spacing w:line="480" w:lineRule="auto"/>
        <w:jc w:val="center"/>
        <w:rPr>
          <w:b/>
          <w:sz w:val="24"/>
        </w:rPr>
      </w:pPr>
      <w:bookmarkStart w:id="0" w:name="_GoBack"/>
      <w:bookmarkEnd w:id="0"/>
      <w:r>
        <w:rPr>
          <w:b/>
          <w:sz w:val="24"/>
        </w:rPr>
        <w:t>Proposal to Develop</w:t>
      </w:r>
      <w:r w:rsidR="00972678" w:rsidRPr="00972678">
        <w:rPr>
          <w:b/>
          <w:sz w:val="24"/>
        </w:rPr>
        <w:t xml:space="preserve"> a Career Pathway Literacy Curriculum </w:t>
      </w:r>
    </w:p>
    <w:p w:rsidR="00972678" w:rsidRDefault="00B640DD" w:rsidP="00040225">
      <w:pPr>
        <w:spacing w:line="480" w:lineRule="auto"/>
        <w:jc w:val="center"/>
        <w:rPr>
          <w:b/>
          <w:sz w:val="24"/>
        </w:rPr>
      </w:pPr>
      <w:r>
        <w:rPr>
          <w:b/>
          <w:sz w:val="24"/>
        </w:rPr>
        <w:t>t</w:t>
      </w:r>
      <w:r w:rsidR="00515F4F" w:rsidRPr="00972678">
        <w:rPr>
          <w:b/>
          <w:sz w:val="24"/>
        </w:rPr>
        <w:t>o</w:t>
      </w:r>
      <w:r w:rsidR="00972678" w:rsidRPr="00972678">
        <w:rPr>
          <w:b/>
          <w:sz w:val="24"/>
        </w:rPr>
        <w:t xml:space="preserve"> Address Healthcare Worker Shortages in Minnesota</w:t>
      </w:r>
    </w:p>
    <w:p w:rsidR="00040225" w:rsidRPr="00972678" w:rsidRDefault="00040225" w:rsidP="00040225">
      <w:pPr>
        <w:spacing w:line="240" w:lineRule="auto"/>
        <w:jc w:val="center"/>
        <w:rPr>
          <w:b/>
          <w:sz w:val="24"/>
        </w:rPr>
      </w:pPr>
    </w:p>
    <w:p w:rsidR="0056448F" w:rsidRDefault="00823078" w:rsidP="00E230FE">
      <w:pPr>
        <w:spacing w:line="480" w:lineRule="auto"/>
        <w:rPr>
          <w:sz w:val="24"/>
        </w:rPr>
      </w:pPr>
      <w:r>
        <w:rPr>
          <w:b/>
          <w:sz w:val="24"/>
        </w:rPr>
        <w:t xml:space="preserve">   </w:t>
      </w:r>
      <w:r w:rsidR="0056448F">
        <w:rPr>
          <w:b/>
          <w:sz w:val="24"/>
        </w:rPr>
        <w:tab/>
      </w:r>
      <w:r w:rsidR="00687299" w:rsidRPr="00972678">
        <w:rPr>
          <w:sz w:val="24"/>
        </w:rPr>
        <w:t>Minnesota is currently faced with a workforce shortage in the healthcare field.</w:t>
      </w:r>
      <w:r w:rsidR="00E275BA">
        <w:rPr>
          <w:sz w:val="24"/>
        </w:rPr>
        <w:t xml:space="preserve">  This shor</w:t>
      </w:r>
      <w:r w:rsidR="001E494B">
        <w:rPr>
          <w:sz w:val="24"/>
        </w:rPr>
        <w:t>tage is especially seen in the certified n</w:t>
      </w:r>
      <w:r w:rsidR="00E275BA">
        <w:rPr>
          <w:sz w:val="24"/>
        </w:rPr>
        <w:t xml:space="preserve">ursing </w:t>
      </w:r>
      <w:r w:rsidR="00296CB6">
        <w:rPr>
          <w:sz w:val="24"/>
        </w:rPr>
        <w:t>assistant (</w:t>
      </w:r>
      <w:r w:rsidR="001E494B">
        <w:rPr>
          <w:sz w:val="24"/>
        </w:rPr>
        <w:t>CNA)</w:t>
      </w:r>
      <w:r w:rsidR="00E275BA">
        <w:rPr>
          <w:sz w:val="24"/>
        </w:rPr>
        <w:t xml:space="preserve"> p</w:t>
      </w:r>
      <w:r w:rsidR="001E494B">
        <w:rPr>
          <w:sz w:val="24"/>
        </w:rPr>
        <w:t>ositions within the state.  The CNA</w:t>
      </w:r>
      <w:r w:rsidR="00E275BA">
        <w:rPr>
          <w:sz w:val="24"/>
        </w:rPr>
        <w:t xml:space="preserve"> position is also seen as the first step in entering the health care field.  </w:t>
      </w:r>
      <w:r w:rsidR="00687299" w:rsidRPr="00972678">
        <w:rPr>
          <w:sz w:val="24"/>
        </w:rPr>
        <w:t xml:space="preserve"> </w:t>
      </w:r>
      <w:r w:rsidR="001E494B">
        <w:rPr>
          <w:sz w:val="24"/>
        </w:rPr>
        <w:t>P</w:t>
      </w:r>
      <w:r w:rsidR="00654B4F">
        <w:rPr>
          <w:sz w:val="24"/>
        </w:rPr>
        <w:t>art of our</w:t>
      </w:r>
      <w:r w:rsidR="001E494B">
        <w:rPr>
          <w:sz w:val="24"/>
        </w:rPr>
        <w:t xml:space="preserve"> answer to this shortage is to engage our low-</w:t>
      </w:r>
      <w:r w:rsidR="00654B4F">
        <w:rPr>
          <w:sz w:val="24"/>
        </w:rPr>
        <w:t>skil</w:t>
      </w:r>
      <w:r w:rsidR="002B1C33">
        <w:rPr>
          <w:sz w:val="24"/>
        </w:rPr>
        <w:t>l</w:t>
      </w:r>
      <w:r w:rsidR="00654B4F">
        <w:rPr>
          <w:sz w:val="24"/>
        </w:rPr>
        <w:t xml:space="preserve">ed and refugee and immigrant populations in gaining the skills to enter this field.  </w:t>
      </w:r>
      <w:r w:rsidR="00687299" w:rsidRPr="00972678">
        <w:rPr>
          <w:sz w:val="24"/>
        </w:rPr>
        <w:t xml:space="preserve"> </w:t>
      </w:r>
    </w:p>
    <w:p w:rsidR="009023F7" w:rsidRDefault="00E275BA" w:rsidP="0056448F">
      <w:pPr>
        <w:spacing w:line="480" w:lineRule="auto"/>
        <w:ind w:firstLine="720"/>
        <w:rPr>
          <w:sz w:val="24"/>
        </w:rPr>
      </w:pPr>
      <w:r>
        <w:rPr>
          <w:sz w:val="24"/>
        </w:rPr>
        <w:t xml:space="preserve">The State of Minnesota </w:t>
      </w:r>
      <w:r w:rsidR="00687299" w:rsidRPr="00972678">
        <w:rPr>
          <w:sz w:val="24"/>
        </w:rPr>
        <w:t xml:space="preserve">has recognized this shortage </w:t>
      </w:r>
      <w:r>
        <w:rPr>
          <w:sz w:val="24"/>
        </w:rPr>
        <w:t>in healthcare and</w:t>
      </w:r>
      <w:r w:rsidR="001E494B">
        <w:rPr>
          <w:sz w:val="24"/>
        </w:rPr>
        <w:t xml:space="preserve"> in</w:t>
      </w:r>
      <w:r>
        <w:rPr>
          <w:sz w:val="24"/>
        </w:rPr>
        <w:t xml:space="preserve"> other fields </w:t>
      </w:r>
      <w:r w:rsidR="001E494B">
        <w:rPr>
          <w:sz w:val="24"/>
        </w:rPr>
        <w:t>with</w:t>
      </w:r>
      <w:r>
        <w:rPr>
          <w:sz w:val="24"/>
        </w:rPr>
        <w:t xml:space="preserve"> workforce shortages </w:t>
      </w:r>
      <w:r w:rsidR="00687299" w:rsidRPr="00972678">
        <w:rPr>
          <w:sz w:val="24"/>
        </w:rPr>
        <w:t>and has taken steps</w:t>
      </w:r>
      <w:r w:rsidR="001E494B">
        <w:rPr>
          <w:sz w:val="24"/>
        </w:rPr>
        <w:t xml:space="preserve"> through its transitions programs</w:t>
      </w:r>
      <w:r w:rsidR="00687299" w:rsidRPr="00972678">
        <w:rPr>
          <w:sz w:val="24"/>
        </w:rPr>
        <w:t xml:space="preserve"> to improve access to language acquisition and </w:t>
      </w:r>
      <w:r w:rsidR="00823078">
        <w:rPr>
          <w:sz w:val="24"/>
        </w:rPr>
        <w:t xml:space="preserve">training opportunities </w:t>
      </w:r>
      <w:r w:rsidR="00687299" w:rsidRPr="00972678">
        <w:rPr>
          <w:sz w:val="24"/>
        </w:rPr>
        <w:t>for refugees, minorities, and other low-skilled individuals</w:t>
      </w:r>
      <w:r>
        <w:rPr>
          <w:sz w:val="24"/>
        </w:rPr>
        <w:t xml:space="preserve">. </w:t>
      </w:r>
      <w:r w:rsidR="00687299" w:rsidRPr="00972678">
        <w:rPr>
          <w:sz w:val="24"/>
        </w:rPr>
        <w:t xml:space="preserve"> </w:t>
      </w:r>
      <w:r>
        <w:rPr>
          <w:sz w:val="24"/>
        </w:rPr>
        <w:t xml:space="preserve"> These programs have been called FastTRAC, Career Pathways, and </w:t>
      </w:r>
      <w:r w:rsidR="001E494B">
        <w:rPr>
          <w:sz w:val="24"/>
        </w:rPr>
        <w:t xml:space="preserve">are </w:t>
      </w:r>
      <w:r>
        <w:rPr>
          <w:sz w:val="24"/>
        </w:rPr>
        <w:t xml:space="preserve">now labeled Pathways to Prosperity programs.  </w:t>
      </w:r>
      <w:r w:rsidR="004218A9" w:rsidRPr="004218A9">
        <w:rPr>
          <w:sz w:val="24"/>
        </w:rPr>
        <w:t xml:space="preserve">As a partnership </w:t>
      </w:r>
      <w:r w:rsidR="0056448F">
        <w:rPr>
          <w:sz w:val="24"/>
        </w:rPr>
        <w:t>between WorkForce Development, community colleges, and A</w:t>
      </w:r>
      <w:r w:rsidR="004218A9" w:rsidRPr="004218A9">
        <w:rPr>
          <w:sz w:val="24"/>
        </w:rPr>
        <w:t xml:space="preserve">dult Education, this approach increases the number of skilled workers in Minnesota, reduces unemployment, and improves our economy. </w:t>
      </w:r>
      <w:r w:rsidR="0056448F">
        <w:rPr>
          <w:sz w:val="24"/>
        </w:rPr>
        <w:t>The Pathways to Prosperity</w:t>
      </w:r>
      <w:r w:rsidR="002B1C33">
        <w:rPr>
          <w:sz w:val="24"/>
        </w:rPr>
        <w:t xml:space="preserve"> program financially supports the training costs for eligible individuals as lack of funds is a huge barrier to an individual</w:t>
      </w:r>
      <w:r w:rsidR="00236D2F">
        <w:rPr>
          <w:sz w:val="24"/>
        </w:rPr>
        <w:t xml:space="preserve">’s ability to move forward. </w:t>
      </w:r>
      <w:r w:rsidR="00B345F6" w:rsidRPr="00B345F6">
        <w:rPr>
          <w:sz w:val="24"/>
        </w:rPr>
        <w:t xml:space="preserve">  </w:t>
      </w:r>
      <w:r w:rsidR="0056448F">
        <w:rPr>
          <w:sz w:val="24"/>
        </w:rPr>
        <w:t>S</w:t>
      </w:r>
      <w:r w:rsidR="00823078">
        <w:rPr>
          <w:sz w:val="24"/>
        </w:rPr>
        <w:t>upport</w:t>
      </w:r>
      <w:r w:rsidR="0056448F">
        <w:rPr>
          <w:sz w:val="24"/>
        </w:rPr>
        <w:t xml:space="preserve"> to the individual</w:t>
      </w:r>
      <w:r w:rsidR="00823078">
        <w:rPr>
          <w:sz w:val="24"/>
        </w:rPr>
        <w:t xml:space="preserve"> is provided</w:t>
      </w:r>
      <w:r w:rsidR="0056448F">
        <w:rPr>
          <w:sz w:val="24"/>
        </w:rPr>
        <w:t xml:space="preserve"> through the three partner agencies</w:t>
      </w:r>
      <w:r w:rsidR="00823078">
        <w:rPr>
          <w:sz w:val="24"/>
        </w:rPr>
        <w:t xml:space="preserve"> to create success and the attainment of getting on that first ste</w:t>
      </w:r>
      <w:r w:rsidR="0056448F">
        <w:rPr>
          <w:sz w:val="24"/>
        </w:rPr>
        <w:t>p of a career p</w:t>
      </w:r>
      <w:r w:rsidR="00823078">
        <w:rPr>
          <w:sz w:val="24"/>
        </w:rPr>
        <w:t xml:space="preserve">athway.  </w:t>
      </w:r>
      <w:r w:rsidR="00141382">
        <w:rPr>
          <w:sz w:val="24"/>
        </w:rPr>
        <w:t xml:space="preserve">Pathway to Prosperity </w:t>
      </w:r>
      <w:r w:rsidR="004218A9" w:rsidRPr="004218A9">
        <w:rPr>
          <w:sz w:val="24"/>
        </w:rPr>
        <w:t>models increase individuals’ confidence by allowing them to realize a greater vision for their</w:t>
      </w:r>
      <w:r w:rsidR="00141382">
        <w:rPr>
          <w:sz w:val="24"/>
        </w:rPr>
        <w:t xml:space="preserve"> </w:t>
      </w:r>
      <w:r w:rsidR="00DE56FB">
        <w:rPr>
          <w:sz w:val="24"/>
        </w:rPr>
        <w:t xml:space="preserve">future.  </w:t>
      </w:r>
      <w:r w:rsidR="002B1C33">
        <w:rPr>
          <w:sz w:val="24"/>
        </w:rPr>
        <w:t xml:space="preserve"> </w:t>
      </w:r>
      <w:r w:rsidR="00B345F6" w:rsidRPr="00B345F6">
        <w:rPr>
          <w:sz w:val="24"/>
        </w:rPr>
        <w:t>Consiste</w:t>
      </w:r>
      <w:r w:rsidR="00823078">
        <w:rPr>
          <w:sz w:val="24"/>
        </w:rPr>
        <w:t xml:space="preserve">ntly, these training </w:t>
      </w:r>
      <w:r w:rsidR="00515F4F">
        <w:rPr>
          <w:sz w:val="24"/>
        </w:rPr>
        <w:t xml:space="preserve">programs </w:t>
      </w:r>
      <w:r w:rsidR="00515F4F" w:rsidRPr="00B345F6">
        <w:rPr>
          <w:sz w:val="24"/>
        </w:rPr>
        <w:t>improve</w:t>
      </w:r>
      <w:r w:rsidR="00B345F6" w:rsidRPr="00B345F6">
        <w:rPr>
          <w:sz w:val="24"/>
        </w:rPr>
        <w:t xml:space="preserve"> literacy and</w:t>
      </w:r>
      <w:r w:rsidR="001D278D">
        <w:rPr>
          <w:sz w:val="24"/>
        </w:rPr>
        <w:t xml:space="preserve"> </w:t>
      </w:r>
      <w:r w:rsidR="0056448F">
        <w:rPr>
          <w:sz w:val="24"/>
        </w:rPr>
        <w:t>motivated for a better future for themselves</w:t>
      </w:r>
      <w:r w:rsidR="001D278D">
        <w:rPr>
          <w:sz w:val="24"/>
        </w:rPr>
        <w:t>,</w:t>
      </w:r>
      <w:r w:rsidR="00B345F6" w:rsidRPr="00B345F6">
        <w:rPr>
          <w:sz w:val="24"/>
        </w:rPr>
        <w:t xml:space="preserve"> many individuals completing these programs have</w:t>
      </w:r>
      <w:r w:rsidR="0056448F">
        <w:rPr>
          <w:sz w:val="24"/>
        </w:rPr>
        <w:t xml:space="preserve"> later pursued licensing as licensed practical nurses (LPNs)</w:t>
      </w:r>
      <w:r w:rsidR="00B345F6" w:rsidRPr="00B345F6">
        <w:rPr>
          <w:sz w:val="24"/>
        </w:rPr>
        <w:t xml:space="preserve"> </w:t>
      </w:r>
      <w:r w:rsidR="0056448F">
        <w:rPr>
          <w:sz w:val="24"/>
        </w:rPr>
        <w:t>or Registered nurses (RN</w:t>
      </w:r>
      <w:r w:rsidR="00B345F6" w:rsidRPr="00B345F6">
        <w:rPr>
          <w:sz w:val="24"/>
        </w:rPr>
        <w:t>s</w:t>
      </w:r>
      <w:r w:rsidR="0056448F">
        <w:rPr>
          <w:sz w:val="24"/>
        </w:rPr>
        <w:t>)</w:t>
      </w:r>
      <w:r w:rsidR="00B345F6" w:rsidRPr="00B345F6">
        <w:rPr>
          <w:sz w:val="24"/>
        </w:rPr>
        <w:t>.</w:t>
      </w:r>
    </w:p>
    <w:p w:rsidR="009023F7" w:rsidRDefault="00B345F6" w:rsidP="009023F7">
      <w:pPr>
        <w:spacing w:line="240" w:lineRule="auto"/>
        <w:ind w:firstLine="720"/>
        <w:rPr>
          <w:sz w:val="24"/>
        </w:rPr>
      </w:pPr>
      <w:r w:rsidRPr="00B345F6">
        <w:rPr>
          <w:sz w:val="24"/>
        </w:rPr>
        <w:lastRenderedPageBreak/>
        <w:t xml:space="preserve">  </w:t>
      </w:r>
    </w:p>
    <w:p w:rsidR="0056448F" w:rsidRPr="009023F7" w:rsidRDefault="009023F7" w:rsidP="009023F7">
      <w:pPr>
        <w:spacing w:line="480" w:lineRule="auto"/>
        <w:rPr>
          <w:b/>
          <w:sz w:val="24"/>
        </w:rPr>
      </w:pPr>
      <w:r>
        <w:rPr>
          <w:b/>
          <w:sz w:val="24"/>
        </w:rPr>
        <w:t>Development o</w:t>
      </w:r>
      <w:r w:rsidRPr="009023F7">
        <w:rPr>
          <w:b/>
          <w:sz w:val="24"/>
        </w:rPr>
        <w:t xml:space="preserve">f </w:t>
      </w:r>
      <w:r>
        <w:rPr>
          <w:b/>
          <w:sz w:val="24"/>
        </w:rPr>
        <w:t xml:space="preserve">Online </w:t>
      </w:r>
      <w:r w:rsidRPr="009023F7">
        <w:rPr>
          <w:b/>
          <w:sz w:val="24"/>
        </w:rPr>
        <w:t>Contextualized CNA Curriculum</w:t>
      </w:r>
      <w:r w:rsidR="00B345F6" w:rsidRPr="009023F7">
        <w:rPr>
          <w:b/>
          <w:sz w:val="24"/>
        </w:rPr>
        <w:t xml:space="preserve">  </w:t>
      </w:r>
      <w:r w:rsidR="002B1C33" w:rsidRPr="009023F7">
        <w:rPr>
          <w:b/>
          <w:sz w:val="24"/>
        </w:rPr>
        <w:t xml:space="preserve"> </w:t>
      </w:r>
      <w:r w:rsidR="004C4270" w:rsidRPr="009023F7">
        <w:rPr>
          <w:b/>
          <w:sz w:val="24"/>
        </w:rPr>
        <w:t xml:space="preserve"> </w:t>
      </w:r>
    </w:p>
    <w:p w:rsidR="005638BC" w:rsidRDefault="00141382" w:rsidP="0056448F">
      <w:pPr>
        <w:spacing w:line="480" w:lineRule="auto"/>
        <w:ind w:firstLine="720"/>
        <w:rPr>
          <w:sz w:val="24"/>
        </w:rPr>
      </w:pPr>
      <w:r>
        <w:rPr>
          <w:sz w:val="24"/>
        </w:rPr>
        <w:t xml:space="preserve">In the </w:t>
      </w:r>
      <w:r w:rsidR="0056448F">
        <w:rPr>
          <w:sz w:val="24"/>
        </w:rPr>
        <w:t>Pathways to Prosperity CNA program, a participant</w:t>
      </w:r>
      <w:r>
        <w:rPr>
          <w:sz w:val="24"/>
        </w:rPr>
        <w:t xml:space="preserve"> needs to be reading at an 8</w:t>
      </w:r>
      <w:r w:rsidRPr="00141382">
        <w:rPr>
          <w:sz w:val="24"/>
          <w:vertAlign w:val="superscript"/>
        </w:rPr>
        <w:t>th</w:t>
      </w:r>
      <w:r>
        <w:rPr>
          <w:sz w:val="24"/>
        </w:rPr>
        <w:t xml:space="preserve"> </w:t>
      </w:r>
      <w:r w:rsidR="001D278D">
        <w:rPr>
          <w:sz w:val="24"/>
        </w:rPr>
        <w:t xml:space="preserve">grade </w:t>
      </w:r>
      <w:r>
        <w:rPr>
          <w:sz w:val="24"/>
        </w:rPr>
        <w:t>r</w:t>
      </w:r>
      <w:r w:rsidR="0056448F">
        <w:rPr>
          <w:sz w:val="24"/>
        </w:rPr>
        <w:t>eading level to be successful in</w:t>
      </w:r>
      <w:r>
        <w:rPr>
          <w:sz w:val="24"/>
        </w:rPr>
        <w:t xml:space="preserve"> attain</w:t>
      </w:r>
      <w:r w:rsidR="0056448F">
        <w:rPr>
          <w:sz w:val="24"/>
        </w:rPr>
        <w:t>ing</w:t>
      </w:r>
      <w:r>
        <w:rPr>
          <w:sz w:val="24"/>
        </w:rPr>
        <w:t xml:space="preserve"> </w:t>
      </w:r>
      <w:r w:rsidR="0056448F">
        <w:rPr>
          <w:sz w:val="24"/>
        </w:rPr>
        <w:t>a</w:t>
      </w:r>
      <w:r>
        <w:rPr>
          <w:sz w:val="24"/>
        </w:rPr>
        <w:t xml:space="preserve"> CNA certificate.  T</w:t>
      </w:r>
      <w:r w:rsidR="005638BC">
        <w:rPr>
          <w:sz w:val="24"/>
        </w:rPr>
        <w:t>herefore, t</w:t>
      </w:r>
      <w:r>
        <w:rPr>
          <w:sz w:val="24"/>
        </w:rPr>
        <w:t xml:space="preserve">his proposal seeks to create an online reading curriculum for </w:t>
      </w:r>
      <w:r w:rsidR="005638BC">
        <w:rPr>
          <w:sz w:val="24"/>
        </w:rPr>
        <w:t xml:space="preserve">individuals reading from a 5.5 to </w:t>
      </w:r>
      <w:r>
        <w:rPr>
          <w:sz w:val="24"/>
        </w:rPr>
        <w:t xml:space="preserve">8.5 </w:t>
      </w:r>
      <w:r w:rsidR="005638BC">
        <w:rPr>
          <w:sz w:val="24"/>
        </w:rPr>
        <w:t xml:space="preserve">grade </w:t>
      </w:r>
      <w:r>
        <w:rPr>
          <w:sz w:val="24"/>
        </w:rPr>
        <w:t xml:space="preserve">level utilizing only health care vocabulary and content leading to a CNA job.  This </w:t>
      </w:r>
      <w:r w:rsidR="005638BC">
        <w:rPr>
          <w:sz w:val="24"/>
        </w:rPr>
        <w:t xml:space="preserve">contextualized </w:t>
      </w:r>
      <w:r>
        <w:rPr>
          <w:sz w:val="24"/>
        </w:rPr>
        <w:t>curriculum would then prepare individuals to participate in a Pathway</w:t>
      </w:r>
      <w:r w:rsidR="005638BC">
        <w:rPr>
          <w:sz w:val="24"/>
        </w:rPr>
        <w:t>s to</w:t>
      </w:r>
      <w:r>
        <w:rPr>
          <w:sz w:val="24"/>
        </w:rPr>
        <w:t xml:space="preserve"> Prosperity CNA program.  </w:t>
      </w:r>
      <w:r w:rsidR="004C4270" w:rsidRPr="00972678">
        <w:rPr>
          <w:sz w:val="24"/>
        </w:rPr>
        <w:t xml:space="preserve"> W</w:t>
      </w:r>
      <w:r w:rsidR="00687299" w:rsidRPr="00972678">
        <w:rPr>
          <w:sz w:val="24"/>
        </w:rPr>
        <w:t xml:space="preserve">ith </w:t>
      </w:r>
      <w:r w:rsidR="004C4270" w:rsidRPr="00972678">
        <w:rPr>
          <w:sz w:val="24"/>
        </w:rPr>
        <w:t>support from M</w:t>
      </w:r>
      <w:r w:rsidR="005638BC">
        <w:rPr>
          <w:sz w:val="24"/>
        </w:rPr>
        <w:t>innesota Adult Basic Education (</w:t>
      </w:r>
      <w:r w:rsidR="004C4270" w:rsidRPr="00972678">
        <w:rPr>
          <w:sz w:val="24"/>
        </w:rPr>
        <w:t xml:space="preserve">ABE), </w:t>
      </w:r>
      <w:r w:rsidR="00687299" w:rsidRPr="00972678">
        <w:rPr>
          <w:sz w:val="24"/>
        </w:rPr>
        <w:t>the MN Department of Health, MN Department of Employment and Economic Development (MN DEED)</w:t>
      </w:r>
      <w:r w:rsidR="00FE4AC8" w:rsidRPr="00972678">
        <w:rPr>
          <w:sz w:val="24"/>
        </w:rPr>
        <w:t>, and</w:t>
      </w:r>
      <w:r w:rsidR="004218A9">
        <w:rPr>
          <w:sz w:val="24"/>
        </w:rPr>
        <w:t xml:space="preserve"> </w:t>
      </w:r>
      <w:r w:rsidR="004C4270" w:rsidRPr="00972678">
        <w:rPr>
          <w:sz w:val="24"/>
        </w:rPr>
        <w:t>organizations representing healthcare</w:t>
      </w:r>
      <w:r w:rsidR="004218A9">
        <w:rPr>
          <w:sz w:val="24"/>
        </w:rPr>
        <w:t xml:space="preserve"> providers</w:t>
      </w:r>
      <w:r w:rsidR="004C4270" w:rsidRPr="00972678">
        <w:rPr>
          <w:sz w:val="24"/>
        </w:rPr>
        <w:t>, this proposal</w:t>
      </w:r>
      <w:r>
        <w:rPr>
          <w:sz w:val="24"/>
        </w:rPr>
        <w:t xml:space="preserve"> recommends the development of this</w:t>
      </w:r>
      <w:r w:rsidR="004C4270" w:rsidRPr="00972678">
        <w:rPr>
          <w:sz w:val="24"/>
        </w:rPr>
        <w:t xml:space="preserve"> free, online healthcare literacy curriculum.  </w:t>
      </w:r>
    </w:p>
    <w:p w:rsidR="00687299" w:rsidRDefault="003F435C" w:rsidP="0056448F">
      <w:pPr>
        <w:spacing w:line="480" w:lineRule="auto"/>
        <w:ind w:firstLine="720"/>
        <w:rPr>
          <w:sz w:val="24"/>
        </w:rPr>
      </w:pPr>
      <w:r w:rsidRPr="00972678">
        <w:rPr>
          <w:sz w:val="24"/>
        </w:rPr>
        <w:t>With the future of education being delivered via technology,</w:t>
      </w:r>
      <w:r w:rsidR="004C4270" w:rsidRPr="00972678">
        <w:rPr>
          <w:sz w:val="24"/>
        </w:rPr>
        <w:t xml:space="preserve"> this</w:t>
      </w:r>
      <w:r w:rsidRPr="00972678">
        <w:rPr>
          <w:sz w:val="24"/>
        </w:rPr>
        <w:t xml:space="preserve"> online</w:t>
      </w:r>
      <w:r w:rsidR="004C4270" w:rsidRPr="00972678">
        <w:rPr>
          <w:sz w:val="24"/>
        </w:rPr>
        <w:t xml:space="preserve"> content would assist with raising the literacy levels of the public and address Minnesota’s certified healthcare worker shortage.  This content also has implications for national use, revenue generation</w:t>
      </w:r>
      <w:r w:rsidRPr="00972678">
        <w:rPr>
          <w:sz w:val="24"/>
        </w:rPr>
        <w:t>, and will provide a comprehensive framework for developing content for other skilled workforce fields.</w:t>
      </w:r>
      <w:r w:rsidR="004218A9">
        <w:rPr>
          <w:sz w:val="24"/>
        </w:rPr>
        <w:t xml:space="preserve">  At this time no financial support is available to fund this project.</w:t>
      </w:r>
    </w:p>
    <w:p w:rsidR="005638BC" w:rsidRDefault="005638BC" w:rsidP="005638BC">
      <w:pPr>
        <w:spacing w:line="240" w:lineRule="auto"/>
        <w:ind w:firstLine="720"/>
        <w:rPr>
          <w:sz w:val="24"/>
        </w:rPr>
      </w:pPr>
    </w:p>
    <w:p w:rsidR="00236D2F" w:rsidRDefault="00236D2F" w:rsidP="00E230FE">
      <w:pPr>
        <w:spacing w:line="480" w:lineRule="auto"/>
        <w:rPr>
          <w:b/>
          <w:sz w:val="24"/>
        </w:rPr>
      </w:pPr>
      <w:r w:rsidRPr="00236D2F">
        <w:rPr>
          <w:b/>
          <w:sz w:val="24"/>
        </w:rPr>
        <w:t>Barr</w:t>
      </w:r>
      <w:r w:rsidR="009023F7">
        <w:rPr>
          <w:b/>
          <w:sz w:val="24"/>
        </w:rPr>
        <w:t>iers or Challenges Individuals Face to Be Able to Attain a</w:t>
      </w:r>
      <w:r w:rsidRPr="00236D2F">
        <w:rPr>
          <w:b/>
          <w:sz w:val="24"/>
        </w:rPr>
        <w:t xml:space="preserve"> CNA certificate</w:t>
      </w:r>
    </w:p>
    <w:p w:rsidR="00236D2F" w:rsidRPr="00236D2F" w:rsidRDefault="00236D2F" w:rsidP="005638BC">
      <w:pPr>
        <w:spacing w:line="480" w:lineRule="auto"/>
        <w:rPr>
          <w:b/>
          <w:sz w:val="24"/>
        </w:rPr>
      </w:pPr>
      <w:r w:rsidRPr="00236D2F">
        <w:rPr>
          <w:sz w:val="24"/>
        </w:rPr>
        <w:t xml:space="preserve">    </w:t>
      </w:r>
      <w:r w:rsidR="005638BC">
        <w:rPr>
          <w:sz w:val="24"/>
        </w:rPr>
        <w:tab/>
        <w:t xml:space="preserve">Often, </w:t>
      </w:r>
      <w:r w:rsidRPr="00236D2F">
        <w:rPr>
          <w:sz w:val="24"/>
        </w:rPr>
        <w:t>low-skilled adults do not have the finances to afford tuition to take a course.  They also fac</w:t>
      </w:r>
      <w:r w:rsidR="005638BC">
        <w:rPr>
          <w:sz w:val="24"/>
        </w:rPr>
        <w:t>e other significant obstacles: w</w:t>
      </w:r>
      <w:r w:rsidRPr="00236D2F">
        <w:rPr>
          <w:sz w:val="24"/>
        </w:rPr>
        <w:t>hen these populations reach the intermediate range of literacy ability (4-8th grade), their language skills are developed enough to obtain a job that puts food on the table and pays the rent.  However, much of this population does not – or cannot – seek additional seat-based educational opportunities because of time, family,</w:t>
      </w:r>
      <w:r w:rsidR="005638BC">
        <w:rPr>
          <w:sz w:val="24"/>
        </w:rPr>
        <w:t xml:space="preserve"> </w:t>
      </w:r>
      <w:r w:rsidRPr="00236D2F">
        <w:rPr>
          <w:sz w:val="24"/>
        </w:rPr>
        <w:lastRenderedPageBreak/>
        <w:t xml:space="preserve">transportation </w:t>
      </w:r>
      <w:r w:rsidR="005638BC">
        <w:rPr>
          <w:sz w:val="24"/>
        </w:rPr>
        <w:t>and</w:t>
      </w:r>
      <w:r w:rsidRPr="00236D2F">
        <w:rPr>
          <w:sz w:val="24"/>
        </w:rPr>
        <w:t xml:space="preserve"> already limited income.  When these individuals reside in rural areas of Greater Minnesota, their ability to access services is reduced even more significantly due to tr</w:t>
      </w:r>
      <w:r w:rsidR="005638BC">
        <w:rPr>
          <w:sz w:val="24"/>
        </w:rPr>
        <w:t>ansportation and ABE</w:t>
      </w:r>
      <w:r w:rsidRPr="00236D2F">
        <w:rPr>
          <w:sz w:val="24"/>
        </w:rPr>
        <w:t>’s limited capacity to provide classes</w:t>
      </w:r>
      <w:r w:rsidRPr="00236D2F">
        <w:rPr>
          <w:b/>
          <w:sz w:val="24"/>
        </w:rPr>
        <w:t xml:space="preserve">.  </w:t>
      </w:r>
    </w:p>
    <w:p w:rsidR="00236D2F" w:rsidRDefault="00236D2F" w:rsidP="005638BC">
      <w:pPr>
        <w:spacing w:line="240" w:lineRule="auto"/>
        <w:rPr>
          <w:b/>
          <w:sz w:val="24"/>
        </w:rPr>
      </w:pPr>
    </w:p>
    <w:p w:rsidR="007515C9" w:rsidRPr="005638BC" w:rsidRDefault="007515C9" w:rsidP="00E230FE">
      <w:pPr>
        <w:spacing w:line="480" w:lineRule="auto"/>
        <w:rPr>
          <w:b/>
          <w:sz w:val="24"/>
        </w:rPr>
      </w:pPr>
      <w:r w:rsidRPr="00972678">
        <w:rPr>
          <w:b/>
          <w:sz w:val="24"/>
        </w:rPr>
        <w:t xml:space="preserve">Current </w:t>
      </w:r>
      <w:r w:rsidR="00236D2F">
        <w:rPr>
          <w:b/>
          <w:sz w:val="24"/>
        </w:rPr>
        <w:t>Situation</w:t>
      </w:r>
    </w:p>
    <w:p w:rsidR="007515C9" w:rsidRPr="00972678" w:rsidRDefault="00040225" w:rsidP="00E230FE">
      <w:pPr>
        <w:spacing w:line="480" w:lineRule="auto"/>
        <w:rPr>
          <w:sz w:val="24"/>
        </w:rPr>
      </w:pPr>
      <w:r>
        <w:rPr>
          <w:sz w:val="24"/>
        </w:rPr>
        <w:tab/>
        <w:t>T</w:t>
      </w:r>
      <w:r w:rsidR="005638BC">
        <w:rPr>
          <w:sz w:val="24"/>
        </w:rPr>
        <w:t>o teach a broad range of subjects</w:t>
      </w:r>
      <w:r>
        <w:rPr>
          <w:sz w:val="24"/>
        </w:rPr>
        <w:t>,</w:t>
      </w:r>
      <w:r w:rsidR="005638BC">
        <w:rPr>
          <w:sz w:val="24"/>
        </w:rPr>
        <w:t xml:space="preserve"> ABE</w:t>
      </w:r>
      <w:r w:rsidR="007515C9" w:rsidRPr="00972678">
        <w:rPr>
          <w:sz w:val="24"/>
        </w:rPr>
        <w:t xml:space="preserve"> and other providers deliver language acquisition services that utilize already developed content.</w:t>
      </w:r>
      <w:r w:rsidR="005F6786" w:rsidRPr="00972678">
        <w:rPr>
          <w:sz w:val="24"/>
        </w:rPr>
        <w:t xml:space="preserve">  </w:t>
      </w:r>
      <w:r w:rsidR="00544BA6">
        <w:rPr>
          <w:sz w:val="24"/>
        </w:rPr>
        <w:t xml:space="preserve">An effective way for an individual to gain literacy skills is to read more frequently, particularly texts that meet his/her literacy level.  Also, if the content is in an area that an individual has interest, the motivation to read and persistence to read increases.  </w:t>
      </w:r>
      <w:r w:rsidR="00E90FD5" w:rsidRPr="00972678">
        <w:rPr>
          <w:sz w:val="24"/>
        </w:rPr>
        <w:t xml:space="preserve">This also applies to career related content: if there is content available that allows an individual to learn the necessary skills </w:t>
      </w:r>
      <w:r w:rsidR="00872704" w:rsidRPr="00972678">
        <w:rPr>
          <w:sz w:val="24"/>
        </w:rPr>
        <w:t>for</w:t>
      </w:r>
      <w:r w:rsidR="005638BC">
        <w:rPr>
          <w:sz w:val="24"/>
        </w:rPr>
        <w:t>—</w:t>
      </w:r>
      <w:r w:rsidR="00E90FD5" w:rsidRPr="00972678">
        <w:rPr>
          <w:sz w:val="24"/>
        </w:rPr>
        <w:t>and is a direct stepping stone to</w:t>
      </w:r>
      <w:r w:rsidR="005638BC">
        <w:rPr>
          <w:sz w:val="24"/>
        </w:rPr>
        <w:t xml:space="preserve">—a </w:t>
      </w:r>
      <w:r w:rsidR="00E90FD5" w:rsidRPr="00972678">
        <w:rPr>
          <w:sz w:val="24"/>
        </w:rPr>
        <w:t xml:space="preserve">particular job, the individual will be more likely to </w:t>
      </w:r>
      <w:r w:rsidR="00872704" w:rsidRPr="00972678">
        <w:rPr>
          <w:sz w:val="24"/>
        </w:rPr>
        <w:t>read and learn</w:t>
      </w:r>
      <w:r w:rsidR="00E90FD5" w:rsidRPr="00972678">
        <w:rPr>
          <w:sz w:val="24"/>
        </w:rPr>
        <w:t xml:space="preserve"> the content.  When we can create content relevant to an individual’s aspirations and goals, the more progress we are able to </w:t>
      </w:r>
      <w:r w:rsidR="00872704" w:rsidRPr="00972678">
        <w:rPr>
          <w:sz w:val="24"/>
        </w:rPr>
        <w:t xml:space="preserve">make in </w:t>
      </w:r>
      <w:r w:rsidR="00E90FD5" w:rsidRPr="00972678">
        <w:rPr>
          <w:sz w:val="24"/>
        </w:rPr>
        <w:t>increas</w:t>
      </w:r>
      <w:r w:rsidR="00872704" w:rsidRPr="00972678">
        <w:rPr>
          <w:sz w:val="24"/>
        </w:rPr>
        <w:t>ing the</w:t>
      </w:r>
      <w:r w:rsidR="00E90FD5" w:rsidRPr="00972678">
        <w:rPr>
          <w:sz w:val="24"/>
        </w:rPr>
        <w:t xml:space="preserve"> literacy </w:t>
      </w:r>
      <w:r w:rsidR="005638BC">
        <w:rPr>
          <w:sz w:val="24"/>
        </w:rPr>
        <w:t>levels in</w:t>
      </w:r>
      <w:r w:rsidR="00872704" w:rsidRPr="00972678">
        <w:rPr>
          <w:sz w:val="24"/>
        </w:rPr>
        <w:t xml:space="preserve"> our state and developing a </w:t>
      </w:r>
      <w:r w:rsidR="00E90FD5" w:rsidRPr="00972678">
        <w:rPr>
          <w:sz w:val="24"/>
        </w:rPr>
        <w:t>skilled workforce.</w:t>
      </w:r>
    </w:p>
    <w:p w:rsidR="00994B94" w:rsidRPr="009023F7" w:rsidRDefault="00872704" w:rsidP="00E230FE">
      <w:pPr>
        <w:spacing w:line="480" w:lineRule="auto"/>
        <w:rPr>
          <w:sz w:val="24"/>
        </w:rPr>
      </w:pPr>
      <w:r w:rsidRPr="00972678">
        <w:rPr>
          <w:sz w:val="24"/>
        </w:rPr>
        <w:tab/>
        <w:t xml:space="preserve">The Comprehensive Adult Student Assessment System (CASAS) is the tool used to determine if an individual’s reading ability will allow </w:t>
      </w:r>
      <w:r w:rsidR="005638BC">
        <w:rPr>
          <w:sz w:val="24"/>
        </w:rPr>
        <w:t>him/her</w:t>
      </w:r>
      <w:r w:rsidRPr="00972678">
        <w:rPr>
          <w:sz w:val="24"/>
        </w:rPr>
        <w:t xml:space="preserve"> to be successful in understanding content in training programs such as CNA classes.  Through grounded research, the CASAS organization </w:t>
      </w:r>
      <w:r w:rsidR="002B091D" w:rsidRPr="00972678">
        <w:rPr>
          <w:sz w:val="24"/>
        </w:rPr>
        <w:t xml:space="preserve">states it takes 80-120 hours of instruction to raise literacy one level.  Using a hybrid delivery method of seat-based instruction and online content relevant to a student’s career aspirations, we expect to further increase literacy </w:t>
      </w:r>
      <w:r w:rsidR="009023F7">
        <w:rPr>
          <w:sz w:val="24"/>
        </w:rPr>
        <w:t>levels</w:t>
      </w:r>
      <w:r w:rsidR="002B091D" w:rsidRPr="00972678">
        <w:rPr>
          <w:sz w:val="24"/>
        </w:rPr>
        <w:t xml:space="preserve"> of the students enrolled in our training programs.</w:t>
      </w:r>
      <w:r w:rsidR="00FE566E">
        <w:rPr>
          <w:sz w:val="24"/>
        </w:rPr>
        <w:t xml:space="preserve">  The curriculum being proposed would cover the 22</w:t>
      </w:r>
      <w:r w:rsidR="00100AFA">
        <w:rPr>
          <w:sz w:val="24"/>
        </w:rPr>
        <w:t>0</w:t>
      </w:r>
      <w:r w:rsidR="00FE566E">
        <w:rPr>
          <w:sz w:val="24"/>
        </w:rPr>
        <w:t>-235 range which spans one literacy level called High Intermediate</w:t>
      </w:r>
      <w:r w:rsidR="009023F7">
        <w:rPr>
          <w:sz w:val="24"/>
        </w:rPr>
        <w:t>.</w:t>
      </w:r>
    </w:p>
    <w:p w:rsidR="00872704" w:rsidRPr="00872704" w:rsidRDefault="00872704" w:rsidP="00E230FE">
      <w:pPr>
        <w:pBdr>
          <w:bottom w:val="single" w:sz="48" w:space="1" w:color="auto"/>
        </w:pBdr>
        <w:spacing w:after="200" w:line="480" w:lineRule="auto"/>
        <w:jc w:val="center"/>
        <w:rPr>
          <w:rFonts w:ascii="Calibri" w:eastAsia="Calibri" w:hAnsi="Calibri" w:cs="Times New Roman"/>
          <w:sz w:val="28"/>
          <w:szCs w:val="28"/>
        </w:rPr>
      </w:pPr>
      <w:r w:rsidRPr="00872704">
        <w:rPr>
          <w:rFonts w:ascii="Calibri" w:eastAsia="Calibri" w:hAnsi="Calibri" w:cs="Times New Roman"/>
          <w:noProof/>
          <w:sz w:val="28"/>
          <w:szCs w:val="28"/>
        </w:rPr>
        <w:lastRenderedPageBreak/>
        <w:drawing>
          <wp:inline distT="0" distB="0" distL="0" distR="0">
            <wp:extent cx="1333500" cy="476250"/>
            <wp:effectExtent l="0" t="0" r="0" b="0"/>
            <wp:docPr id="3"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pic:spPr>
                </pic:pic>
              </a:graphicData>
            </a:graphic>
          </wp:inline>
        </w:drawing>
      </w:r>
    </w:p>
    <w:p w:rsidR="00872704" w:rsidRPr="00872704" w:rsidRDefault="00872704" w:rsidP="00E230FE">
      <w:pPr>
        <w:spacing w:after="200" w:line="480" w:lineRule="auto"/>
        <w:jc w:val="center"/>
        <w:rPr>
          <w:rFonts w:ascii="Calibri" w:eastAsia="Calibri" w:hAnsi="Calibri" w:cs="Times New Roman"/>
          <w:sz w:val="20"/>
          <w:szCs w:val="20"/>
        </w:rPr>
      </w:pPr>
      <w:r w:rsidRPr="00872704">
        <w:rPr>
          <w:rFonts w:ascii="Calibri" w:eastAsia="Calibri" w:hAnsi="Calibri" w:cs="Times New Roman"/>
          <w:sz w:val="20"/>
          <w:szCs w:val="20"/>
        </w:rPr>
        <w:t>Comprehensive Adult Student Assessment Systems</w:t>
      </w:r>
    </w:p>
    <w:p w:rsidR="00872704" w:rsidRPr="00872704" w:rsidRDefault="00872704" w:rsidP="00E230FE">
      <w:pPr>
        <w:spacing w:after="200" w:line="480" w:lineRule="auto"/>
        <w:jc w:val="center"/>
        <w:rPr>
          <w:rFonts w:ascii="Calibri" w:eastAsia="Calibri" w:hAnsi="Calibri" w:cs="Times New Roman"/>
        </w:rPr>
      </w:pPr>
      <w:r w:rsidRPr="00872704">
        <w:rPr>
          <w:rFonts w:ascii="Calibri" w:eastAsia="Calibri" w:hAnsi="Calibri" w:cs="Times New Roman"/>
        </w:rPr>
        <w:t>NRS Educational Functioning Levels to CASAS Scale Scores and Grade Levels</w:t>
      </w:r>
    </w:p>
    <w:tbl>
      <w:tblPr>
        <w:tblStyle w:val="TableGrid"/>
        <w:tblW w:w="0" w:type="auto"/>
        <w:tblLook w:val="04A0" w:firstRow="1" w:lastRow="0" w:firstColumn="1" w:lastColumn="0" w:noHBand="0" w:noVBand="1"/>
      </w:tblPr>
      <w:tblGrid>
        <w:gridCol w:w="918"/>
        <w:gridCol w:w="2340"/>
        <w:gridCol w:w="2070"/>
        <w:gridCol w:w="1350"/>
        <w:gridCol w:w="1302"/>
        <w:gridCol w:w="1596"/>
      </w:tblGrid>
      <w:tr w:rsidR="00872704" w:rsidRPr="00872704" w:rsidTr="00872704">
        <w:trPr>
          <w:gridAfter w:val="2"/>
          <w:wAfter w:w="2898" w:type="dxa"/>
        </w:trPr>
        <w:tc>
          <w:tcPr>
            <w:tcW w:w="5328" w:type="dxa"/>
            <w:gridSpan w:val="3"/>
            <w:tcBorders>
              <w:top w:val="single" w:sz="24" w:space="0" w:color="auto"/>
              <w:left w:val="single" w:sz="24" w:space="0" w:color="auto"/>
              <w:bottom w:val="single" w:sz="24" w:space="0" w:color="auto"/>
              <w:right w:val="single" w:sz="24" w:space="0" w:color="auto"/>
            </w:tcBorders>
            <w:shd w:val="pct12" w:color="auto" w:fill="auto"/>
          </w:tcPr>
          <w:p w:rsidR="00872704" w:rsidRPr="00872704" w:rsidRDefault="00872704" w:rsidP="00E230FE">
            <w:pPr>
              <w:spacing w:line="480" w:lineRule="auto"/>
              <w:jc w:val="center"/>
              <w:rPr>
                <w:b/>
                <w:sz w:val="20"/>
                <w:szCs w:val="20"/>
              </w:rPr>
            </w:pPr>
          </w:p>
          <w:p w:rsidR="00872704" w:rsidRPr="00872704" w:rsidRDefault="00872704" w:rsidP="00E230FE">
            <w:pPr>
              <w:spacing w:line="480" w:lineRule="auto"/>
              <w:jc w:val="center"/>
              <w:rPr>
                <w:b/>
                <w:sz w:val="20"/>
                <w:szCs w:val="20"/>
              </w:rPr>
            </w:pPr>
            <w:r w:rsidRPr="00872704">
              <w:rPr>
                <w:b/>
                <w:sz w:val="20"/>
                <w:szCs w:val="20"/>
              </w:rPr>
              <w:t>NRS Educational Functioning Levels</w:t>
            </w:r>
          </w:p>
          <w:p w:rsidR="00872704" w:rsidRPr="00872704" w:rsidRDefault="00872704" w:rsidP="00E230FE">
            <w:pPr>
              <w:spacing w:line="480" w:lineRule="auto"/>
              <w:jc w:val="center"/>
              <w:rPr>
                <w:b/>
                <w:sz w:val="20"/>
                <w:szCs w:val="20"/>
              </w:rPr>
            </w:pPr>
          </w:p>
        </w:tc>
        <w:tc>
          <w:tcPr>
            <w:tcW w:w="1350" w:type="dxa"/>
            <w:tcBorders>
              <w:top w:val="single" w:sz="24" w:space="0" w:color="auto"/>
              <w:left w:val="single" w:sz="24" w:space="0" w:color="auto"/>
              <w:bottom w:val="single" w:sz="24" w:space="0" w:color="auto"/>
              <w:right w:val="single" w:sz="24" w:space="0" w:color="auto"/>
            </w:tcBorders>
            <w:shd w:val="pct12" w:color="auto" w:fill="auto"/>
          </w:tcPr>
          <w:p w:rsidR="00872704" w:rsidRPr="00872704" w:rsidRDefault="00872704" w:rsidP="00E230FE">
            <w:pPr>
              <w:spacing w:line="480" w:lineRule="auto"/>
              <w:rPr>
                <w:sz w:val="20"/>
                <w:szCs w:val="20"/>
              </w:rPr>
            </w:pPr>
          </w:p>
          <w:p w:rsidR="00872704" w:rsidRPr="00872704" w:rsidRDefault="00872704" w:rsidP="00E230FE">
            <w:pPr>
              <w:spacing w:line="480" w:lineRule="auto"/>
              <w:jc w:val="center"/>
              <w:rPr>
                <w:b/>
                <w:sz w:val="20"/>
                <w:szCs w:val="20"/>
              </w:rPr>
            </w:pPr>
            <w:r w:rsidRPr="00872704">
              <w:rPr>
                <w:b/>
                <w:sz w:val="20"/>
                <w:szCs w:val="20"/>
              </w:rPr>
              <w:t>CASAS</w:t>
            </w:r>
          </w:p>
        </w:tc>
      </w:tr>
      <w:tr w:rsidR="00872704" w:rsidRPr="00872704" w:rsidTr="00872704">
        <w:trPr>
          <w:gridAfter w:val="1"/>
          <w:wAfter w:w="1596" w:type="dxa"/>
        </w:trPr>
        <w:tc>
          <w:tcPr>
            <w:tcW w:w="918" w:type="dxa"/>
            <w:tcBorders>
              <w:top w:val="single" w:sz="2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b/>
                <w:sz w:val="20"/>
                <w:szCs w:val="20"/>
              </w:rPr>
            </w:pPr>
            <w:r w:rsidRPr="00872704">
              <w:rPr>
                <w:b/>
                <w:sz w:val="20"/>
                <w:szCs w:val="20"/>
              </w:rPr>
              <w:t>EFL</w:t>
            </w:r>
          </w:p>
        </w:tc>
        <w:tc>
          <w:tcPr>
            <w:tcW w:w="2340" w:type="dxa"/>
            <w:tcBorders>
              <w:top w:val="single" w:sz="2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b/>
                <w:sz w:val="20"/>
                <w:szCs w:val="20"/>
              </w:rPr>
            </w:pPr>
            <w:r w:rsidRPr="00872704">
              <w:rPr>
                <w:b/>
                <w:sz w:val="20"/>
                <w:szCs w:val="20"/>
              </w:rPr>
              <w:t>ABE</w:t>
            </w:r>
          </w:p>
        </w:tc>
        <w:tc>
          <w:tcPr>
            <w:tcW w:w="2070" w:type="dxa"/>
            <w:tcBorders>
              <w:top w:val="single" w:sz="2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b/>
                <w:sz w:val="20"/>
                <w:szCs w:val="20"/>
              </w:rPr>
            </w:pPr>
            <w:r w:rsidRPr="00872704">
              <w:rPr>
                <w:b/>
                <w:sz w:val="20"/>
                <w:szCs w:val="20"/>
              </w:rPr>
              <w:t>ESL</w:t>
            </w:r>
          </w:p>
        </w:tc>
        <w:tc>
          <w:tcPr>
            <w:tcW w:w="1350" w:type="dxa"/>
            <w:tcBorders>
              <w:top w:val="single" w:sz="2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b/>
                <w:sz w:val="20"/>
                <w:szCs w:val="20"/>
              </w:rPr>
            </w:pPr>
            <w:r w:rsidRPr="00872704">
              <w:rPr>
                <w:b/>
                <w:sz w:val="20"/>
                <w:szCs w:val="20"/>
              </w:rPr>
              <w:t>Score Ranges</w:t>
            </w:r>
          </w:p>
        </w:tc>
        <w:tc>
          <w:tcPr>
            <w:tcW w:w="1302"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b/>
                <w:sz w:val="20"/>
                <w:szCs w:val="20"/>
              </w:rPr>
            </w:pPr>
            <w:r w:rsidRPr="00872704">
              <w:rPr>
                <w:b/>
                <w:sz w:val="20"/>
                <w:szCs w:val="20"/>
              </w:rPr>
              <w:t>Grade Level</w:t>
            </w:r>
          </w:p>
        </w:tc>
      </w:tr>
      <w:tr w:rsidR="00872704" w:rsidRPr="00872704" w:rsidTr="00872704">
        <w:tc>
          <w:tcPr>
            <w:tcW w:w="918"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1</w:t>
            </w:r>
          </w:p>
        </w:tc>
        <w:tc>
          <w:tcPr>
            <w:tcW w:w="2340" w:type="dxa"/>
            <w:tcBorders>
              <w:top w:val="single" w:sz="4" w:space="0" w:color="auto"/>
              <w:left w:val="single" w:sz="4" w:space="0" w:color="auto"/>
              <w:bottom w:val="single" w:sz="4" w:space="0" w:color="auto"/>
              <w:right w:val="single" w:sz="4" w:space="0" w:color="auto"/>
            </w:tcBorders>
          </w:tcPr>
          <w:p w:rsidR="00872704" w:rsidRPr="00872704" w:rsidRDefault="00872704" w:rsidP="00E230FE">
            <w:pPr>
              <w:spacing w:line="480" w:lineRule="auto"/>
              <w:rPr>
                <w:sz w:val="28"/>
                <w:szCs w:val="28"/>
              </w:rPr>
            </w:pPr>
          </w:p>
        </w:tc>
        <w:tc>
          <w:tcPr>
            <w:tcW w:w="207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Beginning ESL Literacy</w:t>
            </w:r>
          </w:p>
        </w:tc>
        <w:tc>
          <w:tcPr>
            <w:tcW w:w="135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180 &amp; below</w:t>
            </w:r>
          </w:p>
        </w:tc>
        <w:tc>
          <w:tcPr>
            <w:tcW w:w="1302" w:type="dxa"/>
            <w:tcBorders>
              <w:top w:val="single" w:sz="4" w:space="0" w:color="auto"/>
              <w:left w:val="single" w:sz="4" w:space="0" w:color="auto"/>
              <w:bottom w:val="single" w:sz="4" w:space="0" w:color="auto"/>
              <w:right w:val="single" w:sz="24" w:space="0" w:color="auto"/>
            </w:tcBorders>
            <w:hideMark/>
          </w:tcPr>
          <w:p w:rsidR="00872704" w:rsidRPr="00872704" w:rsidRDefault="00872704" w:rsidP="00E230FE">
            <w:pPr>
              <w:spacing w:line="480" w:lineRule="auto"/>
              <w:jc w:val="center"/>
              <w:rPr>
                <w:sz w:val="20"/>
                <w:szCs w:val="20"/>
              </w:rPr>
            </w:pPr>
            <w:r w:rsidRPr="00872704">
              <w:rPr>
                <w:sz w:val="20"/>
                <w:szCs w:val="20"/>
              </w:rPr>
              <w:t>1</w:t>
            </w:r>
          </w:p>
        </w:tc>
        <w:tc>
          <w:tcPr>
            <w:tcW w:w="1596" w:type="dxa"/>
            <w:vMerge w:val="restart"/>
            <w:tcBorders>
              <w:top w:val="single" w:sz="24" w:space="0" w:color="auto"/>
              <w:left w:val="single" w:sz="24" w:space="0" w:color="auto"/>
              <w:bottom w:val="single" w:sz="24" w:space="0" w:color="auto"/>
              <w:right w:val="single" w:sz="24" w:space="0" w:color="auto"/>
            </w:tcBorders>
            <w:shd w:val="pct12" w:color="auto" w:fill="auto"/>
          </w:tcPr>
          <w:p w:rsidR="00872704" w:rsidRPr="00872704" w:rsidRDefault="00872704" w:rsidP="00E230FE">
            <w:pPr>
              <w:spacing w:line="480" w:lineRule="auto"/>
              <w:jc w:val="center"/>
              <w:rPr>
                <w:b/>
                <w:sz w:val="20"/>
                <w:szCs w:val="20"/>
              </w:rPr>
            </w:pPr>
          </w:p>
          <w:p w:rsidR="00872704" w:rsidRPr="00872704" w:rsidRDefault="00872704" w:rsidP="00E230FE">
            <w:pPr>
              <w:spacing w:line="480" w:lineRule="auto"/>
              <w:jc w:val="center"/>
              <w:rPr>
                <w:b/>
                <w:sz w:val="20"/>
                <w:szCs w:val="20"/>
              </w:rPr>
            </w:pPr>
          </w:p>
          <w:p w:rsidR="00872704" w:rsidRPr="00872704" w:rsidRDefault="00872704" w:rsidP="00E230FE">
            <w:pPr>
              <w:spacing w:line="480" w:lineRule="auto"/>
              <w:jc w:val="center"/>
              <w:rPr>
                <w:b/>
                <w:sz w:val="20"/>
                <w:szCs w:val="20"/>
              </w:rPr>
            </w:pPr>
            <w:r w:rsidRPr="00872704">
              <w:rPr>
                <w:b/>
                <w:sz w:val="20"/>
                <w:szCs w:val="20"/>
              </w:rPr>
              <w:t>Basic</w:t>
            </w:r>
          </w:p>
          <w:p w:rsidR="00872704" w:rsidRPr="00872704" w:rsidRDefault="00872704" w:rsidP="00E230FE">
            <w:pPr>
              <w:spacing w:line="480" w:lineRule="auto"/>
              <w:jc w:val="center"/>
              <w:rPr>
                <w:b/>
                <w:sz w:val="20"/>
                <w:szCs w:val="20"/>
              </w:rPr>
            </w:pPr>
            <w:r w:rsidRPr="00872704">
              <w:rPr>
                <w:b/>
                <w:sz w:val="20"/>
                <w:szCs w:val="20"/>
              </w:rPr>
              <w:t>Skills</w:t>
            </w:r>
          </w:p>
          <w:p w:rsidR="00872704" w:rsidRPr="00872704" w:rsidRDefault="00872704" w:rsidP="00E230FE">
            <w:pPr>
              <w:spacing w:line="480" w:lineRule="auto"/>
              <w:jc w:val="center"/>
              <w:rPr>
                <w:b/>
                <w:sz w:val="20"/>
                <w:szCs w:val="20"/>
              </w:rPr>
            </w:pPr>
            <w:r w:rsidRPr="00872704">
              <w:rPr>
                <w:b/>
                <w:sz w:val="20"/>
                <w:szCs w:val="20"/>
              </w:rPr>
              <w:t>Deficient</w:t>
            </w:r>
          </w:p>
        </w:tc>
      </w:tr>
      <w:tr w:rsidR="00872704" w:rsidRPr="00872704" w:rsidTr="00872704">
        <w:tc>
          <w:tcPr>
            <w:tcW w:w="918"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2</w:t>
            </w:r>
          </w:p>
        </w:tc>
        <w:tc>
          <w:tcPr>
            <w:tcW w:w="2340" w:type="dxa"/>
            <w:tcBorders>
              <w:top w:val="single" w:sz="4" w:space="0" w:color="auto"/>
              <w:left w:val="single" w:sz="4" w:space="0" w:color="auto"/>
              <w:bottom w:val="single" w:sz="4" w:space="0" w:color="auto"/>
              <w:right w:val="single" w:sz="4" w:space="0" w:color="auto"/>
            </w:tcBorders>
          </w:tcPr>
          <w:p w:rsidR="00872704" w:rsidRPr="00872704" w:rsidRDefault="00872704" w:rsidP="00E230FE">
            <w:pPr>
              <w:spacing w:line="480" w:lineRule="auto"/>
              <w:rPr>
                <w:sz w:val="28"/>
                <w:szCs w:val="28"/>
              </w:rPr>
            </w:pPr>
          </w:p>
        </w:tc>
        <w:tc>
          <w:tcPr>
            <w:tcW w:w="207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Low Beginning ESL</w:t>
            </w:r>
          </w:p>
        </w:tc>
        <w:tc>
          <w:tcPr>
            <w:tcW w:w="135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181-190</w:t>
            </w:r>
          </w:p>
        </w:tc>
        <w:tc>
          <w:tcPr>
            <w:tcW w:w="1302" w:type="dxa"/>
            <w:tcBorders>
              <w:top w:val="single" w:sz="4" w:space="0" w:color="auto"/>
              <w:left w:val="single" w:sz="4" w:space="0" w:color="auto"/>
              <w:bottom w:val="single" w:sz="4" w:space="0" w:color="auto"/>
              <w:right w:val="single" w:sz="24" w:space="0" w:color="auto"/>
            </w:tcBorders>
            <w:hideMark/>
          </w:tcPr>
          <w:p w:rsidR="00872704" w:rsidRPr="00872704" w:rsidRDefault="00872704" w:rsidP="00E230FE">
            <w:pPr>
              <w:spacing w:line="480" w:lineRule="auto"/>
              <w:jc w:val="center"/>
              <w:rPr>
                <w:sz w:val="20"/>
                <w:szCs w:val="20"/>
              </w:rPr>
            </w:pPr>
            <w:r w:rsidRPr="00872704">
              <w:rPr>
                <w:sz w:val="20"/>
                <w:szCs w:val="20"/>
              </w:rPr>
              <w:t>1</w:t>
            </w:r>
          </w:p>
        </w:tc>
        <w:tc>
          <w:tcPr>
            <w:tcW w:w="0" w:type="auto"/>
            <w:vMerge/>
            <w:tcBorders>
              <w:top w:val="single" w:sz="24" w:space="0" w:color="auto"/>
              <w:left w:val="single" w:sz="24" w:space="0" w:color="auto"/>
              <w:bottom w:val="single" w:sz="24" w:space="0" w:color="auto"/>
              <w:right w:val="single" w:sz="24" w:space="0" w:color="auto"/>
            </w:tcBorders>
            <w:vAlign w:val="center"/>
            <w:hideMark/>
          </w:tcPr>
          <w:p w:rsidR="00872704" w:rsidRPr="00872704" w:rsidRDefault="00872704" w:rsidP="00E230FE">
            <w:pPr>
              <w:spacing w:line="480" w:lineRule="auto"/>
              <w:rPr>
                <w:b/>
                <w:sz w:val="20"/>
                <w:szCs w:val="20"/>
              </w:rPr>
            </w:pPr>
          </w:p>
        </w:tc>
      </w:tr>
      <w:tr w:rsidR="00872704" w:rsidRPr="00872704" w:rsidTr="00872704">
        <w:trPr>
          <w:trHeight w:val="350"/>
        </w:trPr>
        <w:tc>
          <w:tcPr>
            <w:tcW w:w="918"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3</w:t>
            </w:r>
          </w:p>
        </w:tc>
        <w:tc>
          <w:tcPr>
            <w:tcW w:w="234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Beginning ABE Literacy</w:t>
            </w:r>
          </w:p>
        </w:tc>
        <w:tc>
          <w:tcPr>
            <w:tcW w:w="207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High Beginning ESL</w:t>
            </w:r>
          </w:p>
        </w:tc>
        <w:tc>
          <w:tcPr>
            <w:tcW w:w="135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191-200</w:t>
            </w:r>
          </w:p>
        </w:tc>
        <w:tc>
          <w:tcPr>
            <w:tcW w:w="1302" w:type="dxa"/>
            <w:tcBorders>
              <w:top w:val="single" w:sz="4" w:space="0" w:color="auto"/>
              <w:left w:val="single" w:sz="4" w:space="0" w:color="auto"/>
              <w:bottom w:val="single" w:sz="4" w:space="0" w:color="auto"/>
              <w:right w:val="single" w:sz="24" w:space="0" w:color="auto"/>
            </w:tcBorders>
            <w:hideMark/>
          </w:tcPr>
          <w:p w:rsidR="00872704" w:rsidRPr="00872704" w:rsidRDefault="00872704" w:rsidP="00E230FE">
            <w:pPr>
              <w:spacing w:line="480" w:lineRule="auto"/>
              <w:jc w:val="center"/>
              <w:rPr>
                <w:sz w:val="20"/>
                <w:szCs w:val="20"/>
              </w:rPr>
            </w:pPr>
            <w:r w:rsidRPr="00872704">
              <w:rPr>
                <w:sz w:val="20"/>
                <w:szCs w:val="20"/>
              </w:rPr>
              <w:t>1</w:t>
            </w:r>
          </w:p>
        </w:tc>
        <w:tc>
          <w:tcPr>
            <w:tcW w:w="0" w:type="auto"/>
            <w:vMerge/>
            <w:tcBorders>
              <w:top w:val="single" w:sz="24" w:space="0" w:color="auto"/>
              <w:left w:val="single" w:sz="24" w:space="0" w:color="auto"/>
              <w:bottom w:val="single" w:sz="24" w:space="0" w:color="auto"/>
              <w:right w:val="single" w:sz="24" w:space="0" w:color="auto"/>
            </w:tcBorders>
            <w:vAlign w:val="center"/>
            <w:hideMark/>
          </w:tcPr>
          <w:p w:rsidR="00872704" w:rsidRPr="00872704" w:rsidRDefault="00872704" w:rsidP="00E230FE">
            <w:pPr>
              <w:spacing w:line="480" w:lineRule="auto"/>
              <w:rPr>
                <w:b/>
                <w:sz w:val="20"/>
                <w:szCs w:val="20"/>
              </w:rPr>
            </w:pPr>
          </w:p>
        </w:tc>
      </w:tr>
      <w:tr w:rsidR="00872704" w:rsidRPr="00872704" w:rsidTr="00872704">
        <w:tc>
          <w:tcPr>
            <w:tcW w:w="918"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4</w:t>
            </w:r>
          </w:p>
        </w:tc>
        <w:tc>
          <w:tcPr>
            <w:tcW w:w="234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Beginning Basic Education</w:t>
            </w:r>
          </w:p>
        </w:tc>
        <w:tc>
          <w:tcPr>
            <w:tcW w:w="207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Low intermediate ESL</w:t>
            </w:r>
          </w:p>
        </w:tc>
        <w:tc>
          <w:tcPr>
            <w:tcW w:w="135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201-205</w:t>
            </w:r>
          </w:p>
          <w:p w:rsidR="00872704" w:rsidRPr="00872704" w:rsidRDefault="00872704" w:rsidP="00E230FE">
            <w:pPr>
              <w:spacing w:line="480" w:lineRule="auto"/>
              <w:jc w:val="center"/>
              <w:rPr>
                <w:sz w:val="20"/>
                <w:szCs w:val="20"/>
              </w:rPr>
            </w:pPr>
            <w:r w:rsidRPr="00872704">
              <w:rPr>
                <w:sz w:val="20"/>
                <w:szCs w:val="20"/>
              </w:rPr>
              <w:t>206-210</w:t>
            </w:r>
          </w:p>
        </w:tc>
        <w:tc>
          <w:tcPr>
            <w:tcW w:w="1302" w:type="dxa"/>
            <w:tcBorders>
              <w:top w:val="single" w:sz="4" w:space="0" w:color="auto"/>
              <w:left w:val="single" w:sz="4" w:space="0" w:color="auto"/>
              <w:bottom w:val="single" w:sz="4" w:space="0" w:color="auto"/>
              <w:right w:val="single" w:sz="24" w:space="0" w:color="auto"/>
            </w:tcBorders>
            <w:hideMark/>
          </w:tcPr>
          <w:p w:rsidR="00872704" w:rsidRPr="00872704" w:rsidRDefault="00872704" w:rsidP="00E230FE">
            <w:pPr>
              <w:spacing w:line="480" w:lineRule="auto"/>
              <w:jc w:val="center"/>
              <w:rPr>
                <w:sz w:val="20"/>
                <w:szCs w:val="20"/>
              </w:rPr>
            </w:pPr>
            <w:r w:rsidRPr="00872704">
              <w:rPr>
                <w:sz w:val="20"/>
                <w:szCs w:val="20"/>
              </w:rPr>
              <w:t>2</w:t>
            </w:r>
          </w:p>
          <w:p w:rsidR="00872704" w:rsidRPr="00872704" w:rsidRDefault="00872704" w:rsidP="00E230FE">
            <w:pPr>
              <w:spacing w:line="480" w:lineRule="auto"/>
              <w:jc w:val="center"/>
              <w:rPr>
                <w:sz w:val="20"/>
                <w:szCs w:val="20"/>
              </w:rPr>
            </w:pPr>
            <w:r w:rsidRPr="00872704">
              <w:rPr>
                <w:sz w:val="20"/>
                <w:szCs w:val="20"/>
              </w:rPr>
              <w:t>3</w:t>
            </w:r>
          </w:p>
        </w:tc>
        <w:tc>
          <w:tcPr>
            <w:tcW w:w="0" w:type="auto"/>
            <w:vMerge/>
            <w:tcBorders>
              <w:top w:val="single" w:sz="24" w:space="0" w:color="auto"/>
              <w:left w:val="single" w:sz="24" w:space="0" w:color="auto"/>
              <w:bottom w:val="single" w:sz="24" w:space="0" w:color="auto"/>
              <w:right w:val="single" w:sz="24" w:space="0" w:color="auto"/>
            </w:tcBorders>
            <w:vAlign w:val="center"/>
            <w:hideMark/>
          </w:tcPr>
          <w:p w:rsidR="00872704" w:rsidRPr="00872704" w:rsidRDefault="00872704" w:rsidP="00E230FE">
            <w:pPr>
              <w:spacing w:line="480" w:lineRule="auto"/>
              <w:rPr>
                <w:b/>
                <w:sz w:val="20"/>
                <w:szCs w:val="20"/>
              </w:rPr>
            </w:pPr>
          </w:p>
        </w:tc>
      </w:tr>
      <w:tr w:rsidR="00872704" w:rsidRPr="00872704" w:rsidTr="00872704">
        <w:tc>
          <w:tcPr>
            <w:tcW w:w="918"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5</w:t>
            </w:r>
          </w:p>
        </w:tc>
        <w:tc>
          <w:tcPr>
            <w:tcW w:w="234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Low Intermediate Basic Education</w:t>
            </w:r>
          </w:p>
        </w:tc>
        <w:tc>
          <w:tcPr>
            <w:tcW w:w="207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High Intermediate ESL</w:t>
            </w:r>
          </w:p>
        </w:tc>
        <w:tc>
          <w:tcPr>
            <w:tcW w:w="135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211-215</w:t>
            </w:r>
          </w:p>
          <w:p w:rsidR="00872704" w:rsidRPr="00872704" w:rsidRDefault="00872704" w:rsidP="00E230FE">
            <w:pPr>
              <w:spacing w:line="480" w:lineRule="auto"/>
              <w:jc w:val="center"/>
              <w:rPr>
                <w:sz w:val="20"/>
                <w:szCs w:val="20"/>
              </w:rPr>
            </w:pPr>
            <w:r w:rsidRPr="00872704">
              <w:rPr>
                <w:sz w:val="20"/>
                <w:szCs w:val="20"/>
              </w:rPr>
              <w:t>216-220</w:t>
            </w:r>
          </w:p>
        </w:tc>
        <w:tc>
          <w:tcPr>
            <w:tcW w:w="1302" w:type="dxa"/>
            <w:tcBorders>
              <w:top w:val="single" w:sz="4" w:space="0" w:color="auto"/>
              <w:left w:val="single" w:sz="4" w:space="0" w:color="auto"/>
              <w:bottom w:val="single" w:sz="4" w:space="0" w:color="auto"/>
              <w:right w:val="single" w:sz="24" w:space="0" w:color="auto"/>
            </w:tcBorders>
            <w:hideMark/>
          </w:tcPr>
          <w:p w:rsidR="00872704" w:rsidRPr="00872704" w:rsidRDefault="00872704" w:rsidP="00E230FE">
            <w:pPr>
              <w:spacing w:line="480" w:lineRule="auto"/>
              <w:jc w:val="center"/>
              <w:rPr>
                <w:sz w:val="20"/>
                <w:szCs w:val="20"/>
              </w:rPr>
            </w:pPr>
            <w:r w:rsidRPr="00872704">
              <w:rPr>
                <w:sz w:val="20"/>
                <w:szCs w:val="20"/>
              </w:rPr>
              <w:t>4</w:t>
            </w:r>
          </w:p>
          <w:p w:rsidR="00872704" w:rsidRPr="00872704" w:rsidRDefault="00872704" w:rsidP="00E230FE">
            <w:pPr>
              <w:spacing w:line="480" w:lineRule="auto"/>
              <w:jc w:val="center"/>
              <w:rPr>
                <w:sz w:val="20"/>
                <w:szCs w:val="20"/>
              </w:rPr>
            </w:pPr>
            <w:r w:rsidRPr="00872704">
              <w:rPr>
                <w:sz w:val="20"/>
                <w:szCs w:val="20"/>
              </w:rPr>
              <w:t>5</w:t>
            </w:r>
          </w:p>
        </w:tc>
        <w:tc>
          <w:tcPr>
            <w:tcW w:w="0" w:type="auto"/>
            <w:vMerge/>
            <w:tcBorders>
              <w:top w:val="single" w:sz="24" w:space="0" w:color="auto"/>
              <w:left w:val="single" w:sz="24" w:space="0" w:color="auto"/>
              <w:bottom w:val="single" w:sz="24" w:space="0" w:color="auto"/>
              <w:right w:val="single" w:sz="24" w:space="0" w:color="auto"/>
            </w:tcBorders>
            <w:vAlign w:val="center"/>
            <w:hideMark/>
          </w:tcPr>
          <w:p w:rsidR="00872704" w:rsidRPr="00872704" w:rsidRDefault="00872704" w:rsidP="00E230FE">
            <w:pPr>
              <w:spacing w:line="480" w:lineRule="auto"/>
              <w:rPr>
                <w:b/>
                <w:sz w:val="20"/>
                <w:szCs w:val="20"/>
              </w:rPr>
            </w:pPr>
          </w:p>
        </w:tc>
      </w:tr>
      <w:tr w:rsidR="00872704" w:rsidRPr="00872704" w:rsidTr="00872704">
        <w:tc>
          <w:tcPr>
            <w:tcW w:w="918"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6</w:t>
            </w:r>
          </w:p>
        </w:tc>
        <w:tc>
          <w:tcPr>
            <w:tcW w:w="234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High Intermediate Basic Education</w:t>
            </w:r>
          </w:p>
        </w:tc>
        <w:tc>
          <w:tcPr>
            <w:tcW w:w="207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Advanced ESL</w:t>
            </w:r>
          </w:p>
        </w:tc>
        <w:tc>
          <w:tcPr>
            <w:tcW w:w="135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221-225</w:t>
            </w:r>
          </w:p>
          <w:p w:rsidR="00872704" w:rsidRPr="00872704" w:rsidRDefault="00872704" w:rsidP="00E230FE">
            <w:pPr>
              <w:spacing w:line="480" w:lineRule="auto"/>
              <w:jc w:val="center"/>
              <w:rPr>
                <w:sz w:val="20"/>
                <w:szCs w:val="20"/>
              </w:rPr>
            </w:pPr>
            <w:r w:rsidRPr="00872704">
              <w:rPr>
                <w:sz w:val="20"/>
                <w:szCs w:val="20"/>
              </w:rPr>
              <w:t>226-230</w:t>
            </w:r>
          </w:p>
          <w:p w:rsidR="00872704" w:rsidRPr="00872704" w:rsidRDefault="00872704" w:rsidP="00E230FE">
            <w:pPr>
              <w:spacing w:line="480" w:lineRule="auto"/>
              <w:jc w:val="center"/>
              <w:rPr>
                <w:sz w:val="20"/>
                <w:szCs w:val="20"/>
              </w:rPr>
            </w:pPr>
            <w:r w:rsidRPr="00872704">
              <w:rPr>
                <w:sz w:val="20"/>
                <w:szCs w:val="20"/>
              </w:rPr>
              <w:t>231-235</w:t>
            </w:r>
          </w:p>
        </w:tc>
        <w:tc>
          <w:tcPr>
            <w:tcW w:w="1302" w:type="dxa"/>
            <w:tcBorders>
              <w:top w:val="single" w:sz="4" w:space="0" w:color="auto"/>
              <w:left w:val="single" w:sz="4" w:space="0" w:color="auto"/>
              <w:bottom w:val="single" w:sz="4" w:space="0" w:color="auto"/>
              <w:right w:val="single" w:sz="24" w:space="0" w:color="auto"/>
            </w:tcBorders>
            <w:hideMark/>
          </w:tcPr>
          <w:p w:rsidR="00872704" w:rsidRPr="00872704" w:rsidRDefault="00872704" w:rsidP="00E230FE">
            <w:pPr>
              <w:spacing w:line="480" w:lineRule="auto"/>
              <w:jc w:val="center"/>
              <w:rPr>
                <w:sz w:val="20"/>
                <w:szCs w:val="20"/>
              </w:rPr>
            </w:pPr>
            <w:r w:rsidRPr="00872704">
              <w:rPr>
                <w:sz w:val="20"/>
                <w:szCs w:val="20"/>
              </w:rPr>
              <w:t>6</w:t>
            </w:r>
          </w:p>
          <w:p w:rsidR="00872704" w:rsidRPr="00872704" w:rsidRDefault="00872704" w:rsidP="00E230FE">
            <w:pPr>
              <w:spacing w:line="480" w:lineRule="auto"/>
              <w:jc w:val="center"/>
              <w:rPr>
                <w:sz w:val="20"/>
                <w:szCs w:val="20"/>
              </w:rPr>
            </w:pPr>
            <w:r w:rsidRPr="00872704">
              <w:rPr>
                <w:sz w:val="20"/>
                <w:szCs w:val="20"/>
              </w:rPr>
              <w:t>7</w:t>
            </w:r>
          </w:p>
          <w:p w:rsidR="00872704" w:rsidRPr="00872704" w:rsidRDefault="00872704" w:rsidP="00E230FE">
            <w:pPr>
              <w:spacing w:line="480" w:lineRule="auto"/>
              <w:jc w:val="center"/>
              <w:rPr>
                <w:sz w:val="20"/>
                <w:szCs w:val="20"/>
              </w:rPr>
            </w:pPr>
            <w:r w:rsidRPr="00872704">
              <w:rPr>
                <w:sz w:val="20"/>
                <w:szCs w:val="20"/>
              </w:rPr>
              <w:t>8</w:t>
            </w:r>
          </w:p>
        </w:tc>
        <w:tc>
          <w:tcPr>
            <w:tcW w:w="0" w:type="auto"/>
            <w:vMerge/>
            <w:tcBorders>
              <w:top w:val="single" w:sz="24" w:space="0" w:color="auto"/>
              <w:left w:val="single" w:sz="24" w:space="0" w:color="auto"/>
              <w:bottom w:val="single" w:sz="24" w:space="0" w:color="auto"/>
              <w:right w:val="single" w:sz="24" w:space="0" w:color="auto"/>
            </w:tcBorders>
            <w:vAlign w:val="center"/>
            <w:hideMark/>
          </w:tcPr>
          <w:p w:rsidR="00872704" w:rsidRPr="00872704" w:rsidRDefault="00872704" w:rsidP="00E230FE">
            <w:pPr>
              <w:spacing w:line="480" w:lineRule="auto"/>
              <w:rPr>
                <w:b/>
                <w:sz w:val="20"/>
                <w:szCs w:val="20"/>
              </w:rPr>
            </w:pPr>
          </w:p>
        </w:tc>
      </w:tr>
      <w:tr w:rsidR="00872704" w:rsidRPr="00872704" w:rsidTr="00872704">
        <w:tc>
          <w:tcPr>
            <w:tcW w:w="918"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7</w:t>
            </w:r>
          </w:p>
        </w:tc>
        <w:tc>
          <w:tcPr>
            <w:tcW w:w="234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Low Adult Secondary Education</w:t>
            </w:r>
          </w:p>
        </w:tc>
        <w:tc>
          <w:tcPr>
            <w:tcW w:w="2070" w:type="dxa"/>
            <w:tcBorders>
              <w:top w:val="single" w:sz="4" w:space="0" w:color="auto"/>
              <w:left w:val="single" w:sz="4" w:space="0" w:color="auto"/>
              <w:bottom w:val="single" w:sz="4" w:space="0" w:color="auto"/>
              <w:right w:val="single" w:sz="4" w:space="0" w:color="auto"/>
            </w:tcBorders>
          </w:tcPr>
          <w:p w:rsidR="00872704" w:rsidRPr="00872704" w:rsidRDefault="00872704" w:rsidP="00E230FE">
            <w:pPr>
              <w:spacing w:line="480" w:lineRule="auto"/>
              <w:rPr>
                <w:sz w:val="28"/>
                <w:szCs w:val="28"/>
              </w:rPr>
            </w:pPr>
          </w:p>
        </w:tc>
        <w:tc>
          <w:tcPr>
            <w:tcW w:w="135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236-240</w:t>
            </w:r>
          </w:p>
          <w:p w:rsidR="00872704" w:rsidRPr="00872704" w:rsidRDefault="00872704" w:rsidP="00E230FE">
            <w:pPr>
              <w:spacing w:line="480" w:lineRule="auto"/>
              <w:jc w:val="center"/>
              <w:rPr>
                <w:sz w:val="20"/>
                <w:szCs w:val="20"/>
              </w:rPr>
            </w:pPr>
            <w:r w:rsidRPr="00872704">
              <w:rPr>
                <w:sz w:val="20"/>
                <w:szCs w:val="20"/>
              </w:rPr>
              <w:t>241-245</w:t>
            </w:r>
          </w:p>
        </w:tc>
        <w:tc>
          <w:tcPr>
            <w:tcW w:w="1302" w:type="dxa"/>
            <w:tcBorders>
              <w:top w:val="single" w:sz="4" w:space="0" w:color="auto"/>
              <w:left w:val="single" w:sz="4" w:space="0" w:color="auto"/>
              <w:bottom w:val="single" w:sz="4" w:space="0" w:color="auto"/>
              <w:right w:val="single" w:sz="24" w:space="0" w:color="auto"/>
            </w:tcBorders>
            <w:hideMark/>
          </w:tcPr>
          <w:p w:rsidR="00872704" w:rsidRPr="00872704" w:rsidRDefault="00872704" w:rsidP="00E230FE">
            <w:pPr>
              <w:spacing w:line="480" w:lineRule="auto"/>
              <w:jc w:val="center"/>
              <w:rPr>
                <w:sz w:val="20"/>
                <w:szCs w:val="20"/>
              </w:rPr>
            </w:pPr>
            <w:r w:rsidRPr="00872704">
              <w:rPr>
                <w:sz w:val="20"/>
                <w:szCs w:val="20"/>
              </w:rPr>
              <w:t>9</w:t>
            </w:r>
          </w:p>
          <w:p w:rsidR="00872704" w:rsidRPr="00872704" w:rsidRDefault="00872704" w:rsidP="00E230FE">
            <w:pPr>
              <w:spacing w:line="480" w:lineRule="auto"/>
              <w:jc w:val="center"/>
              <w:rPr>
                <w:sz w:val="20"/>
                <w:szCs w:val="20"/>
              </w:rPr>
            </w:pPr>
            <w:r w:rsidRPr="00872704">
              <w:rPr>
                <w:sz w:val="20"/>
                <w:szCs w:val="20"/>
              </w:rPr>
              <w:t>10</w:t>
            </w:r>
          </w:p>
        </w:tc>
        <w:tc>
          <w:tcPr>
            <w:tcW w:w="1596" w:type="dxa"/>
            <w:vMerge w:val="restart"/>
            <w:tcBorders>
              <w:top w:val="single" w:sz="24" w:space="0" w:color="auto"/>
              <w:left w:val="single" w:sz="24" w:space="0" w:color="auto"/>
              <w:bottom w:val="single" w:sz="24" w:space="0" w:color="auto"/>
              <w:right w:val="single" w:sz="24" w:space="0" w:color="auto"/>
            </w:tcBorders>
            <w:shd w:val="pct25" w:color="auto" w:fill="auto"/>
          </w:tcPr>
          <w:p w:rsidR="00872704" w:rsidRPr="00872704" w:rsidRDefault="00872704" w:rsidP="00E230FE">
            <w:pPr>
              <w:spacing w:line="480" w:lineRule="auto"/>
              <w:jc w:val="center"/>
              <w:rPr>
                <w:sz w:val="20"/>
                <w:szCs w:val="20"/>
              </w:rPr>
            </w:pPr>
          </w:p>
          <w:p w:rsidR="00872704" w:rsidRPr="00872704" w:rsidRDefault="00872704" w:rsidP="00E230FE">
            <w:pPr>
              <w:spacing w:line="480" w:lineRule="auto"/>
              <w:jc w:val="center"/>
              <w:rPr>
                <w:b/>
                <w:sz w:val="20"/>
                <w:szCs w:val="20"/>
              </w:rPr>
            </w:pPr>
            <w:r w:rsidRPr="00872704">
              <w:rPr>
                <w:b/>
                <w:sz w:val="20"/>
                <w:szCs w:val="20"/>
              </w:rPr>
              <w:t>Not Basic Skills Deficient</w:t>
            </w:r>
          </w:p>
        </w:tc>
      </w:tr>
      <w:tr w:rsidR="00872704" w:rsidRPr="00872704" w:rsidTr="00872704">
        <w:tc>
          <w:tcPr>
            <w:tcW w:w="918"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8</w:t>
            </w:r>
          </w:p>
        </w:tc>
        <w:tc>
          <w:tcPr>
            <w:tcW w:w="234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High Adult Secondary Education</w:t>
            </w:r>
          </w:p>
        </w:tc>
        <w:tc>
          <w:tcPr>
            <w:tcW w:w="2070" w:type="dxa"/>
            <w:tcBorders>
              <w:top w:val="single" w:sz="4" w:space="0" w:color="auto"/>
              <w:left w:val="single" w:sz="4" w:space="0" w:color="auto"/>
              <w:bottom w:val="single" w:sz="4" w:space="0" w:color="auto"/>
              <w:right w:val="single" w:sz="4" w:space="0" w:color="auto"/>
            </w:tcBorders>
          </w:tcPr>
          <w:p w:rsidR="00872704" w:rsidRPr="00872704" w:rsidRDefault="00872704" w:rsidP="00E230FE">
            <w:pPr>
              <w:spacing w:line="480" w:lineRule="auto"/>
              <w:rPr>
                <w:sz w:val="28"/>
                <w:szCs w:val="28"/>
              </w:rPr>
            </w:pPr>
          </w:p>
        </w:tc>
        <w:tc>
          <w:tcPr>
            <w:tcW w:w="1350" w:type="dxa"/>
            <w:tcBorders>
              <w:top w:val="single" w:sz="4" w:space="0" w:color="auto"/>
              <w:left w:val="single" w:sz="4" w:space="0" w:color="auto"/>
              <w:bottom w:val="single" w:sz="4" w:space="0" w:color="auto"/>
              <w:right w:val="single" w:sz="4" w:space="0" w:color="auto"/>
            </w:tcBorders>
            <w:hideMark/>
          </w:tcPr>
          <w:p w:rsidR="00872704" w:rsidRPr="00872704" w:rsidRDefault="00872704" w:rsidP="00E230FE">
            <w:pPr>
              <w:spacing w:line="480" w:lineRule="auto"/>
              <w:jc w:val="center"/>
              <w:rPr>
                <w:sz w:val="20"/>
                <w:szCs w:val="20"/>
              </w:rPr>
            </w:pPr>
            <w:r w:rsidRPr="00872704">
              <w:rPr>
                <w:sz w:val="20"/>
                <w:szCs w:val="20"/>
              </w:rPr>
              <w:t>246-250</w:t>
            </w:r>
          </w:p>
          <w:p w:rsidR="00872704" w:rsidRPr="00872704" w:rsidRDefault="00872704" w:rsidP="00E230FE">
            <w:pPr>
              <w:spacing w:line="480" w:lineRule="auto"/>
              <w:jc w:val="center"/>
              <w:rPr>
                <w:sz w:val="20"/>
                <w:szCs w:val="20"/>
              </w:rPr>
            </w:pPr>
            <w:r w:rsidRPr="00872704">
              <w:rPr>
                <w:sz w:val="20"/>
                <w:szCs w:val="20"/>
              </w:rPr>
              <w:t>251 &amp; above</w:t>
            </w:r>
          </w:p>
        </w:tc>
        <w:tc>
          <w:tcPr>
            <w:tcW w:w="1302" w:type="dxa"/>
            <w:tcBorders>
              <w:top w:val="single" w:sz="4" w:space="0" w:color="auto"/>
              <w:left w:val="single" w:sz="4" w:space="0" w:color="auto"/>
              <w:bottom w:val="single" w:sz="4" w:space="0" w:color="auto"/>
              <w:right w:val="single" w:sz="24" w:space="0" w:color="auto"/>
            </w:tcBorders>
            <w:hideMark/>
          </w:tcPr>
          <w:p w:rsidR="00872704" w:rsidRPr="00872704" w:rsidRDefault="00872704" w:rsidP="00E230FE">
            <w:pPr>
              <w:spacing w:line="480" w:lineRule="auto"/>
              <w:jc w:val="center"/>
              <w:rPr>
                <w:sz w:val="20"/>
                <w:szCs w:val="20"/>
              </w:rPr>
            </w:pPr>
            <w:r w:rsidRPr="00872704">
              <w:rPr>
                <w:sz w:val="20"/>
                <w:szCs w:val="20"/>
              </w:rPr>
              <w:t>11</w:t>
            </w:r>
          </w:p>
          <w:p w:rsidR="00872704" w:rsidRPr="00872704" w:rsidRDefault="00872704" w:rsidP="00E230FE">
            <w:pPr>
              <w:spacing w:line="480" w:lineRule="auto"/>
              <w:jc w:val="center"/>
              <w:rPr>
                <w:sz w:val="20"/>
                <w:szCs w:val="20"/>
              </w:rPr>
            </w:pPr>
            <w:r w:rsidRPr="00872704">
              <w:rPr>
                <w:sz w:val="20"/>
                <w:szCs w:val="20"/>
              </w:rPr>
              <w:t>12</w:t>
            </w:r>
          </w:p>
        </w:tc>
        <w:tc>
          <w:tcPr>
            <w:tcW w:w="0" w:type="auto"/>
            <w:vMerge/>
            <w:tcBorders>
              <w:top w:val="single" w:sz="24" w:space="0" w:color="auto"/>
              <w:left w:val="single" w:sz="24" w:space="0" w:color="auto"/>
              <w:bottom w:val="single" w:sz="24" w:space="0" w:color="auto"/>
              <w:right w:val="single" w:sz="24" w:space="0" w:color="auto"/>
            </w:tcBorders>
            <w:vAlign w:val="center"/>
            <w:hideMark/>
          </w:tcPr>
          <w:p w:rsidR="00872704" w:rsidRPr="00872704" w:rsidRDefault="00872704" w:rsidP="00E230FE">
            <w:pPr>
              <w:spacing w:line="480" w:lineRule="auto"/>
              <w:rPr>
                <w:b/>
                <w:sz w:val="20"/>
                <w:szCs w:val="20"/>
              </w:rPr>
            </w:pPr>
          </w:p>
        </w:tc>
      </w:tr>
    </w:tbl>
    <w:p w:rsidR="00E24F30" w:rsidRPr="00972678" w:rsidRDefault="00E24F30" w:rsidP="00E230FE">
      <w:pPr>
        <w:spacing w:line="480" w:lineRule="auto"/>
        <w:rPr>
          <w:b/>
          <w:sz w:val="24"/>
        </w:rPr>
      </w:pPr>
      <w:r w:rsidRPr="00972678">
        <w:rPr>
          <w:b/>
          <w:sz w:val="24"/>
        </w:rPr>
        <w:lastRenderedPageBreak/>
        <w:t>Proposed Solution</w:t>
      </w:r>
    </w:p>
    <w:p w:rsidR="002B091D" w:rsidRPr="00972678" w:rsidRDefault="00E90FD5" w:rsidP="00E230FE">
      <w:pPr>
        <w:spacing w:line="480" w:lineRule="auto"/>
        <w:rPr>
          <w:sz w:val="24"/>
        </w:rPr>
      </w:pPr>
      <w:r w:rsidRPr="00972678">
        <w:rPr>
          <w:sz w:val="24"/>
        </w:rPr>
        <w:tab/>
        <w:t xml:space="preserve">With limited ability to access seat-based courses, </w:t>
      </w:r>
      <w:r w:rsidR="00040225">
        <w:rPr>
          <w:sz w:val="24"/>
        </w:rPr>
        <w:t>low-skilled</w:t>
      </w:r>
      <w:r w:rsidRPr="00972678">
        <w:rPr>
          <w:sz w:val="24"/>
        </w:rPr>
        <w:t xml:space="preserve"> populations could be better served through the development of online content </w:t>
      </w:r>
      <w:r w:rsidR="00872704" w:rsidRPr="00972678">
        <w:rPr>
          <w:sz w:val="24"/>
        </w:rPr>
        <w:t>and ultimately,</w:t>
      </w:r>
      <w:r w:rsidRPr="00972678">
        <w:rPr>
          <w:sz w:val="24"/>
        </w:rPr>
        <w:t xml:space="preserve"> mobile applications.  This is the future of education and </w:t>
      </w:r>
      <w:r w:rsidR="00040225">
        <w:rPr>
          <w:sz w:val="24"/>
        </w:rPr>
        <w:t>a</w:t>
      </w:r>
      <w:r w:rsidRPr="00972678">
        <w:rPr>
          <w:sz w:val="24"/>
        </w:rPr>
        <w:t xml:space="preserve"> vehicle underserved learners need to be able to attain economic self-sufficiency.</w:t>
      </w:r>
      <w:r w:rsidR="002B091D" w:rsidRPr="00972678">
        <w:rPr>
          <w:sz w:val="24"/>
        </w:rPr>
        <w:t xml:space="preserve">  The proposed solution could engage immigrants, refugees, and low-skilled adults to move into the healthcare field.</w:t>
      </w:r>
    </w:p>
    <w:p w:rsidR="002B091D" w:rsidRPr="00972678" w:rsidRDefault="002B091D" w:rsidP="00E230FE">
      <w:pPr>
        <w:spacing w:line="480" w:lineRule="auto"/>
        <w:rPr>
          <w:sz w:val="24"/>
        </w:rPr>
      </w:pPr>
      <w:r w:rsidRPr="00972678">
        <w:rPr>
          <w:sz w:val="24"/>
        </w:rPr>
        <w:tab/>
        <w:t xml:space="preserve">Initially, a literacy curriculum </w:t>
      </w:r>
      <w:r w:rsidR="002C0484" w:rsidRPr="00972678">
        <w:rPr>
          <w:sz w:val="24"/>
        </w:rPr>
        <w:t>would b</w:t>
      </w:r>
      <w:r w:rsidR="00040225">
        <w:rPr>
          <w:sz w:val="24"/>
        </w:rPr>
        <w:t>e developed to address the high-</w:t>
      </w:r>
      <w:r w:rsidR="002C0484" w:rsidRPr="00972678">
        <w:rPr>
          <w:sz w:val="24"/>
        </w:rPr>
        <w:t>intermediate literacy range o</w:t>
      </w:r>
      <w:r w:rsidR="00B345F6">
        <w:rPr>
          <w:sz w:val="24"/>
        </w:rPr>
        <w:t>f CASAS 220-235 (grade levels 5.5-8.5</w:t>
      </w:r>
      <w:r w:rsidR="002C0484" w:rsidRPr="00972678">
        <w:rPr>
          <w:sz w:val="24"/>
        </w:rPr>
        <w:t>).  This curriculum would utilize healthcare content surrounding vocabulary, skills, and concepts required to beco</w:t>
      </w:r>
      <w:r w:rsidR="00040225">
        <w:rPr>
          <w:sz w:val="24"/>
        </w:rPr>
        <w:t>me a CNA</w:t>
      </w:r>
      <w:r w:rsidR="002C0484" w:rsidRPr="00972678">
        <w:rPr>
          <w:sz w:val="24"/>
        </w:rPr>
        <w:t xml:space="preserve"> and woul</w:t>
      </w:r>
      <w:r w:rsidR="00040225">
        <w:rPr>
          <w:sz w:val="24"/>
        </w:rPr>
        <w:t xml:space="preserve">d be designed to raise </w:t>
      </w:r>
      <w:proofErr w:type="spellStart"/>
      <w:proofErr w:type="gramStart"/>
      <w:r w:rsidR="00040225">
        <w:rPr>
          <w:sz w:val="24"/>
        </w:rPr>
        <w:t>a</w:t>
      </w:r>
      <w:proofErr w:type="spellEnd"/>
      <w:proofErr w:type="gramEnd"/>
      <w:r w:rsidR="00040225">
        <w:rPr>
          <w:sz w:val="24"/>
        </w:rPr>
        <w:t xml:space="preserve"> individual</w:t>
      </w:r>
      <w:r w:rsidR="002C0484" w:rsidRPr="00972678">
        <w:rPr>
          <w:sz w:val="24"/>
        </w:rPr>
        <w:t>’s literacy level.</w:t>
      </w:r>
    </w:p>
    <w:p w:rsidR="002C0484" w:rsidRPr="00972678" w:rsidRDefault="002C0484" w:rsidP="00E230FE">
      <w:pPr>
        <w:spacing w:line="480" w:lineRule="auto"/>
        <w:rPr>
          <w:sz w:val="24"/>
        </w:rPr>
      </w:pPr>
      <w:r w:rsidRPr="00972678">
        <w:rPr>
          <w:sz w:val="24"/>
        </w:rPr>
        <w:tab/>
        <w:t xml:space="preserve">Promoted as a stepping stone to attaining CNA certification, the content would be online and made fully available to the public.  While available to anyone wishing to utilize the content, it would ideally be used as a supplement to seat-based training in an adult education setting.  The proposed delivery system for greatest effectiveness </w:t>
      </w:r>
      <w:r w:rsidR="00B345F6">
        <w:rPr>
          <w:sz w:val="24"/>
        </w:rPr>
        <w:t xml:space="preserve">could </w:t>
      </w:r>
      <w:r w:rsidR="00040225">
        <w:rPr>
          <w:sz w:val="24"/>
        </w:rPr>
        <w:t>be six</w:t>
      </w:r>
      <w:r w:rsidRPr="00972678">
        <w:rPr>
          <w:sz w:val="24"/>
        </w:rPr>
        <w:t xml:space="preserve"> hours of s</w:t>
      </w:r>
      <w:r w:rsidR="00040225">
        <w:rPr>
          <w:sz w:val="24"/>
        </w:rPr>
        <w:t>eat-based class and a minimum ten</w:t>
      </w:r>
      <w:r w:rsidRPr="00972678">
        <w:rPr>
          <w:sz w:val="24"/>
        </w:rPr>
        <w:t xml:space="preserve"> hours </w:t>
      </w:r>
      <w:r w:rsidR="00833680" w:rsidRPr="00972678">
        <w:rPr>
          <w:sz w:val="24"/>
        </w:rPr>
        <w:t>outside the classroom e</w:t>
      </w:r>
      <w:r w:rsidR="00B345F6">
        <w:rPr>
          <w:sz w:val="24"/>
        </w:rPr>
        <w:t>ngaging with the online content. T</w:t>
      </w:r>
      <w:r w:rsidR="007B0E4E" w:rsidRPr="00972678">
        <w:rPr>
          <w:sz w:val="24"/>
        </w:rPr>
        <w:t xml:space="preserve">he </w:t>
      </w:r>
      <w:r w:rsidR="00B345F6">
        <w:rPr>
          <w:sz w:val="24"/>
        </w:rPr>
        <w:t xml:space="preserve">eventual </w:t>
      </w:r>
      <w:r w:rsidR="007B0E4E" w:rsidRPr="00972678">
        <w:rPr>
          <w:sz w:val="24"/>
        </w:rPr>
        <w:t>goal is to develop a platform</w:t>
      </w:r>
      <w:r w:rsidR="00B345F6">
        <w:rPr>
          <w:sz w:val="24"/>
        </w:rPr>
        <w:t xml:space="preserve"> that ABE instructors could use to monitor</w:t>
      </w:r>
      <w:r w:rsidR="007B0E4E" w:rsidRPr="00972678">
        <w:rPr>
          <w:sz w:val="24"/>
        </w:rPr>
        <w:t xml:space="preserve"> a student’s progress and t</w:t>
      </w:r>
      <w:r w:rsidR="00B345F6">
        <w:rPr>
          <w:sz w:val="24"/>
        </w:rPr>
        <w:t xml:space="preserve">ime spent utilizing the content </w:t>
      </w:r>
      <w:r w:rsidR="00FE566E">
        <w:rPr>
          <w:sz w:val="24"/>
        </w:rPr>
        <w:t>outside of class.</w:t>
      </w:r>
    </w:p>
    <w:p w:rsidR="000F5983" w:rsidRDefault="00833680" w:rsidP="00E230FE">
      <w:pPr>
        <w:spacing w:line="480" w:lineRule="auto"/>
        <w:rPr>
          <w:sz w:val="24"/>
        </w:rPr>
      </w:pPr>
      <w:r w:rsidRPr="00972678">
        <w:rPr>
          <w:sz w:val="24"/>
        </w:rPr>
        <w:tab/>
        <w:t xml:space="preserve">The CNA curriculum will be modeled after </w:t>
      </w:r>
      <w:r w:rsidRPr="00040225">
        <w:rPr>
          <w:i/>
          <w:sz w:val="24"/>
        </w:rPr>
        <w:t>Reading Skills for Today’s Adults</w:t>
      </w:r>
      <w:r w:rsidRPr="00972678">
        <w:rPr>
          <w:sz w:val="24"/>
        </w:rPr>
        <w:t xml:space="preserve">, an online curriculum developed by Marshall Adult Education Program (MN).  Recognized by the National Institute for Literacy, </w:t>
      </w:r>
      <w:r w:rsidRPr="00040225">
        <w:rPr>
          <w:i/>
          <w:sz w:val="24"/>
        </w:rPr>
        <w:t>Reading Skills for Today’s Adults</w:t>
      </w:r>
      <w:r w:rsidRPr="00972678">
        <w:rPr>
          <w:sz w:val="24"/>
        </w:rPr>
        <w:t xml:space="preserve"> has been praised as one of the best free online literacy tools</w:t>
      </w:r>
      <w:r w:rsidR="00040225">
        <w:rPr>
          <w:sz w:val="24"/>
        </w:rPr>
        <w:t xml:space="preserve"> available</w:t>
      </w:r>
      <w:r w:rsidRPr="00972678">
        <w:rPr>
          <w:sz w:val="24"/>
        </w:rPr>
        <w:t xml:space="preserve">:  </w:t>
      </w:r>
      <w:hyperlink r:id="rId9" w:history="1">
        <w:r w:rsidRPr="00972678">
          <w:rPr>
            <w:rStyle w:val="Hyperlink"/>
            <w:sz w:val="24"/>
          </w:rPr>
          <w:t>http://www.marshalladulteducation.org/index.php/reading-skills-for-todays-adult</w:t>
        </w:r>
      </w:hyperlink>
      <w:r w:rsidR="000F5983" w:rsidRPr="00972678">
        <w:rPr>
          <w:sz w:val="24"/>
        </w:rPr>
        <w:t xml:space="preserve">.  </w:t>
      </w:r>
      <w:r w:rsidR="006F5F92">
        <w:rPr>
          <w:sz w:val="24"/>
        </w:rPr>
        <w:t>This</w:t>
      </w:r>
      <w:r w:rsidR="00040225">
        <w:rPr>
          <w:sz w:val="24"/>
        </w:rPr>
        <w:t xml:space="preserve"> online literacy tool</w:t>
      </w:r>
      <w:r w:rsidR="006F5F92">
        <w:rPr>
          <w:sz w:val="24"/>
        </w:rPr>
        <w:t xml:space="preserve"> is a versatile model that can be used </w:t>
      </w:r>
      <w:r w:rsidR="00040225">
        <w:rPr>
          <w:sz w:val="24"/>
        </w:rPr>
        <w:lastRenderedPageBreak/>
        <w:t xml:space="preserve">independently by an individual </w:t>
      </w:r>
      <w:r w:rsidR="006F5F92">
        <w:rPr>
          <w:sz w:val="24"/>
        </w:rPr>
        <w:t>for fluency</w:t>
      </w:r>
      <w:r w:rsidR="00040225">
        <w:rPr>
          <w:sz w:val="24"/>
        </w:rPr>
        <w:t xml:space="preserve"> practice</w:t>
      </w:r>
      <w:r w:rsidR="006F5F92">
        <w:rPr>
          <w:sz w:val="24"/>
        </w:rPr>
        <w:t xml:space="preserve"> with the ability to listen to repeated fluent reading of text; can be used</w:t>
      </w:r>
      <w:r w:rsidR="00040225">
        <w:rPr>
          <w:sz w:val="24"/>
        </w:rPr>
        <w:t xml:space="preserve"> online or in print form</w:t>
      </w:r>
      <w:r w:rsidR="006F5F92">
        <w:rPr>
          <w:sz w:val="24"/>
        </w:rPr>
        <w:t xml:space="preserve"> in a classroom; and can also be used with a volunteer or tutor.</w:t>
      </w:r>
      <w:r w:rsidR="00B345F6">
        <w:rPr>
          <w:sz w:val="24"/>
        </w:rPr>
        <w:t xml:space="preserve">  </w:t>
      </w:r>
    </w:p>
    <w:p w:rsidR="00D36113" w:rsidRDefault="00D36113" w:rsidP="00D36113">
      <w:pPr>
        <w:spacing w:line="240" w:lineRule="auto"/>
        <w:rPr>
          <w:sz w:val="24"/>
        </w:rPr>
      </w:pPr>
    </w:p>
    <w:p w:rsidR="00040225" w:rsidRPr="00D36113" w:rsidRDefault="00040225" w:rsidP="00E230FE">
      <w:pPr>
        <w:spacing w:line="480" w:lineRule="auto"/>
        <w:rPr>
          <w:b/>
          <w:sz w:val="24"/>
        </w:rPr>
      </w:pPr>
      <w:r w:rsidRPr="00D36113">
        <w:rPr>
          <w:b/>
          <w:sz w:val="24"/>
        </w:rPr>
        <w:t>Future Implications</w:t>
      </w:r>
    </w:p>
    <w:p w:rsidR="00833680" w:rsidRPr="00972678" w:rsidRDefault="000F5983" w:rsidP="00E230FE">
      <w:pPr>
        <w:spacing w:line="480" w:lineRule="auto"/>
        <w:ind w:firstLine="720"/>
        <w:rPr>
          <w:sz w:val="24"/>
        </w:rPr>
      </w:pPr>
      <w:r w:rsidRPr="00972678">
        <w:rPr>
          <w:sz w:val="24"/>
        </w:rPr>
        <w:t xml:space="preserve">After development, testing, and finding success through the proposed CNA </w:t>
      </w:r>
      <w:r w:rsidR="00040225">
        <w:rPr>
          <w:sz w:val="24"/>
        </w:rPr>
        <w:t xml:space="preserve">contextualized </w:t>
      </w:r>
      <w:r w:rsidRPr="00972678">
        <w:rPr>
          <w:sz w:val="24"/>
        </w:rPr>
        <w:t>curriculum, the goal is to duplicate the content t</w:t>
      </w:r>
      <w:r w:rsidR="00040225">
        <w:rPr>
          <w:sz w:val="24"/>
        </w:rPr>
        <w:t>o assist individuals with a low-</w:t>
      </w:r>
      <w:r w:rsidRPr="00972678">
        <w:rPr>
          <w:sz w:val="24"/>
        </w:rPr>
        <w:t xml:space="preserve">intermediate literacy level (CASAS 210-220).  The long-term expectation is that this curriculum will be available and promoted nationally for use by other Adult Education programs </w:t>
      </w:r>
      <w:r w:rsidR="00040225">
        <w:rPr>
          <w:sz w:val="24"/>
        </w:rPr>
        <w:t>that work with</w:t>
      </w:r>
      <w:r w:rsidRPr="00972678">
        <w:rPr>
          <w:sz w:val="24"/>
        </w:rPr>
        <w:t xml:space="preserve"> immigrants, refugees, and low-skilled adults</w:t>
      </w:r>
      <w:r w:rsidR="007B0E4E" w:rsidRPr="00972678">
        <w:rPr>
          <w:sz w:val="24"/>
        </w:rPr>
        <w:t xml:space="preserve"> who have an interest in or </w:t>
      </w:r>
      <w:r w:rsidR="00040225">
        <w:rPr>
          <w:sz w:val="24"/>
        </w:rPr>
        <w:t xml:space="preserve">who see a </w:t>
      </w:r>
      <w:r w:rsidR="007B0E4E" w:rsidRPr="00972678">
        <w:rPr>
          <w:sz w:val="24"/>
        </w:rPr>
        <w:t>need to increase their qualified pool of healthcare workers.  With the platform in place, this will al</w:t>
      </w:r>
      <w:r w:rsidR="00040225">
        <w:rPr>
          <w:sz w:val="24"/>
        </w:rPr>
        <w:t>so have implications for other career p</w:t>
      </w:r>
      <w:r w:rsidR="007B0E4E" w:rsidRPr="00972678">
        <w:rPr>
          <w:sz w:val="24"/>
        </w:rPr>
        <w:t>athways; new content can be developed in the future to meet the demands of regional or national workforce needs.</w:t>
      </w:r>
    </w:p>
    <w:p w:rsidR="000D5D24" w:rsidRPr="00972678" w:rsidRDefault="002B091D" w:rsidP="00D36113">
      <w:pPr>
        <w:spacing w:line="240" w:lineRule="auto"/>
        <w:rPr>
          <w:sz w:val="24"/>
        </w:rPr>
      </w:pPr>
      <w:r w:rsidRPr="00972678">
        <w:rPr>
          <w:sz w:val="24"/>
        </w:rPr>
        <w:tab/>
      </w:r>
      <w:r w:rsidR="00872704" w:rsidRPr="00972678">
        <w:rPr>
          <w:sz w:val="24"/>
        </w:rPr>
        <w:t xml:space="preserve"> </w:t>
      </w:r>
    </w:p>
    <w:p w:rsidR="000D5D24" w:rsidRPr="00972678" w:rsidRDefault="000D5D24" w:rsidP="00E230FE">
      <w:pPr>
        <w:spacing w:line="480" w:lineRule="auto"/>
        <w:rPr>
          <w:b/>
          <w:sz w:val="24"/>
        </w:rPr>
      </w:pPr>
      <w:r w:rsidRPr="00972678">
        <w:rPr>
          <w:b/>
          <w:sz w:val="24"/>
        </w:rPr>
        <w:t>Support for this Project</w:t>
      </w:r>
    </w:p>
    <w:p w:rsidR="00607F88" w:rsidRPr="00972678" w:rsidRDefault="000D5D24" w:rsidP="00E230FE">
      <w:pPr>
        <w:spacing w:line="480" w:lineRule="auto"/>
        <w:rPr>
          <w:sz w:val="24"/>
        </w:rPr>
      </w:pPr>
      <w:r w:rsidRPr="00972678">
        <w:rPr>
          <w:sz w:val="24"/>
        </w:rPr>
        <w:tab/>
      </w:r>
      <w:r w:rsidR="003F42D1" w:rsidRPr="00972678">
        <w:rPr>
          <w:sz w:val="24"/>
        </w:rPr>
        <w:t>The state of Minnesota has embraced the</w:t>
      </w:r>
      <w:r w:rsidR="001D278D">
        <w:rPr>
          <w:sz w:val="24"/>
        </w:rPr>
        <w:t xml:space="preserve"> </w:t>
      </w:r>
      <w:r w:rsidR="00FE566E">
        <w:rPr>
          <w:sz w:val="24"/>
        </w:rPr>
        <w:t>Pathway</w:t>
      </w:r>
      <w:r w:rsidR="00D36113">
        <w:rPr>
          <w:sz w:val="24"/>
        </w:rPr>
        <w:t>s</w:t>
      </w:r>
      <w:r w:rsidR="00FE566E">
        <w:rPr>
          <w:sz w:val="24"/>
        </w:rPr>
        <w:t xml:space="preserve"> t</w:t>
      </w:r>
      <w:r w:rsidR="001D278D">
        <w:rPr>
          <w:sz w:val="24"/>
        </w:rPr>
        <w:t>o Prosperity model</w:t>
      </w:r>
      <w:r w:rsidR="003F42D1" w:rsidRPr="00972678">
        <w:rPr>
          <w:sz w:val="24"/>
        </w:rPr>
        <w:t xml:space="preserve">.  The creation of an effective partnership </w:t>
      </w:r>
      <w:r w:rsidR="00D36113">
        <w:rPr>
          <w:sz w:val="24"/>
        </w:rPr>
        <w:t>between WorkForce Development, community c</w:t>
      </w:r>
      <w:r w:rsidR="003F42D1" w:rsidRPr="00972678">
        <w:rPr>
          <w:sz w:val="24"/>
        </w:rPr>
        <w:t>olleges, and Adult Education agencies has proven beneficial to increasing literacy</w:t>
      </w:r>
      <w:r w:rsidR="00D36113">
        <w:rPr>
          <w:sz w:val="24"/>
        </w:rPr>
        <w:t xml:space="preserve"> levels</w:t>
      </w:r>
      <w:r w:rsidR="003F42D1" w:rsidRPr="00972678">
        <w:rPr>
          <w:sz w:val="24"/>
        </w:rPr>
        <w:t xml:space="preserve"> and credentialing of </w:t>
      </w:r>
      <w:proofErr w:type="gramStart"/>
      <w:r w:rsidR="003F42D1" w:rsidRPr="00972678">
        <w:rPr>
          <w:sz w:val="24"/>
        </w:rPr>
        <w:t>un-</w:t>
      </w:r>
      <w:proofErr w:type="gramEnd"/>
      <w:r w:rsidR="003F42D1" w:rsidRPr="00972678">
        <w:rPr>
          <w:sz w:val="24"/>
        </w:rPr>
        <w:t xml:space="preserve"> and under-employed workers, as well as </w:t>
      </w:r>
      <w:r w:rsidR="00D36113">
        <w:rPr>
          <w:sz w:val="24"/>
        </w:rPr>
        <w:t xml:space="preserve">providing an opportunity for </w:t>
      </w:r>
      <w:r w:rsidR="003F42D1" w:rsidRPr="00972678">
        <w:rPr>
          <w:sz w:val="24"/>
        </w:rPr>
        <w:t xml:space="preserve">individuals with low literacy levels to take the first step on career pathways in high-demand fields.  </w:t>
      </w:r>
      <w:r w:rsidR="00625075" w:rsidRPr="00972678">
        <w:rPr>
          <w:sz w:val="24"/>
        </w:rPr>
        <w:t xml:space="preserve">The state of Minnesota has provided </w:t>
      </w:r>
      <w:r w:rsidR="00D36113">
        <w:rPr>
          <w:sz w:val="24"/>
        </w:rPr>
        <w:t xml:space="preserve">statewide </w:t>
      </w:r>
      <w:r w:rsidR="00625075" w:rsidRPr="00972678">
        <w:rPr>
          <w:sz w:val="24"/>
        </w:rPr>
        <w:t>financial support for Pathway</w:t>
      </w:r>
      <w:r w:rsidR="001D278D">
        <w:rPr>
          <w:sz w:val="24"/>
        </w:rPr>
        <w:t xml:space="preserve">s to </w:t>
      </w:r>
      <w:r w:rsidR="00FE4AC8">
        <w:rPr>
          <w:sz w:val="24"/>
        </w:rPr>
        <w:t xml:space="preserve">Prosperity </w:t>
      </w:r>
      <w:r w:rsidR="00FE4AC8" w:rsidRPr="00972678">
        <w:rPr>
          <w:sz w:val="24"/>
        </w:rPr>
        <w:t>programs</w:t>
      </w:r>
      <w:r w:rsidR="00625075" w:rsidRPr="00972678">
        <w:rPr>
          <w:sz w:val="24"/>
        </w:rPr>
        <w:t xml:space="preserve"> </w:t>
      </w:r>
      <w:r w:rsidR="00D36113">
        <w:rPr>
          <w:sz w:val="24"/>
        </w:rPr>
        <w:t xml:space="preserve">to for further development and to </w:t>
      </w:r>
      <w:r w:rsidR="00625075" w:rsidRPr="00972678">
        <w:rPr>
          <w:sz w:val="24"/>
        </w:rPr>
        <w:t xml:space="preserve">ensure their </w:t>
      </w:r>
      <w:r w:rsidR="00D36113">
        <w:rPr>
          <w:sz w:val="24"/>
        </w:rPr>
        <w:t>continued effectiveness</w:t>
      </w:r>
      <w:r w:rsidR="00625075" w:rsidRPr="00972678">
        <w:rPr>
          <w:sz w:val="24"/>
        </w:rPr>
        <w:t>.</w:t>
      </w:r>
      <w:r w:rsidR="00CE5DCB">
        <w:rPr>
          <w:sz w:val="24"/>
        </w:rPr>
        <w:t xml:space="preserve">  We need to create the means to assist individuals to reach the literacy level</w:t>
      </w:r>
      <w:r w:rsidR="00D36113">
        <w:rPr>
          <w:sz w:val="24"/>
        </w:rPr>
        <w:t xml:space="preserve"> required</w:t>
      </w:r>
      <w:r w:rsidR="00CE5DCB">
        <w:rPr>
          <w:sz w:val="24"/>
        </w:rPr>
        <w:t xml:space="preserve"> to participate in these trainings.</w:t>
      </w:r>
    </w:p>
    <w:p w:rsidR="007B0E4E" w:rsidRPr="00972678" w:rsidRDefault="007B0E4E" w:rsidP="00E230FE">
      <w:pPr>
        <w:spacing w:line="480" w:lineRule="auto"/>
        <w:ind w:firstLine="720"/>
        <w:rPr>
          <w:sz w:val="24"/>
        </w:rPr>
      </w:pPr>
      <w:r w:rsidRPr="00D36113">
        <w:rPr>
          <w:i/>
          <w:sz w:val="24"/>
        </w:rPr>
        <w:lastRenderedPageBreak/>
        <w:t>Reading Skills for Today’s Adults</w:t>
      </w:r>
      <w:r w:rsidRPr="00972678">
        <w:rPr>
          <w:sz w:val="24"/>
        </w:rPr>
        <w:t xml:space="preserve"> is currently being turned into a mobile application by </w:t>
      </w:r>
      <w:proofErr w:type="spellStart"/>
      <w:r w:rsidRPr="00972678">
        <w:rPr>
          <w:sz w:val="24"/>
        </w:rPr>
        <w:t>Flink</w:t>
      </w:r>
      <w:proofErr w:type="spellEnd"/>
      <w:r w:rsidRPr="00972678">
        <w:rPr>
          <w:sz w:val="24"/>
        </w:rPr>
        <w:t xml:space="preserve"> Learning (Cambridge, MA).  Marshall Adult Education was asked to collaborate with </w:t>
      </w:r>
      <w:proofErr w:type="spellStart"/>
      <w:r w:rsidRPr="00972678">
        <w:rPr>
          <w:sz w:val="24"/>
        </w:rPr>
        <w:t>Flink</w:t>
      </w:r>
      <w:proofErr w:type="spellEnd"/>
      <w:r w:rsidRPr="00972678">
        <w:rPr>
          <w:sz w:val="24"/>
        </w:rPr>
        <w:t xml:space="preserve"> Learning to improve interactivity with the content and provide greater accessibility nationwide.  </w:t>
      </w:r>
      <w:r w:rsidR="00CE5DCB">
        <w:rPr>
          <w:sz w:val="24"/>
        </w:rPr>
        <w:t xml:space="preserve">This </w:t>
      </w:r>
      <w:r w:rsidRPr="00972678">
        <w:rPr>
          <w:sz w:val="24"/>
        </w:rPr>
        <w:t xml:space="preserve">application </w:t>
      </w:r>
      <w:r w:rsidR="00CE5DCB">
        <w:rPr>
          <w:sz w:val="24"/>
        </w:rPr>
        <w:t xml:space="preserve">has been submitted as a contestant </w:t>
      </w:r>
      <w:r w:rsidRPr="00972678">
        <w:rPr>
          <w:sz w:val="24"/>
        </w:rPr>
        <w:t>to the Adult Literacy X Prize contest</w:t>
      </w:r>
      <w:r w:rsidR="00CE5DCB">
        <w:rPr>
          <w:sz w:val="24"/>
        </w:rPr>
        <w:t xml:space="preserve"> and is now in the stage of being developed.</w:t>
      </w:r>
      <w:r w:rsidRPr="00972678">
        <w:rPr>
          <w:sz w:val="24"/>
        </w:rPr>
        <w:t xml:space="preserve"> </w:t>
      </w:r>
      <w:r w:rsidR="003D7A71">
        <w:rPr>
          <w:sz w:val="24"/>
        </w:rPr>
        <w:t xml:space="preserve"> As an application being marketed through </w:t>
      </w:r>
      <w:proofErr w:type="spellStart"/>
      <w:r w:rsidR="003D7A71">
        <w:rPr>
          <w:sz w:val="24"/>
        </w:rPr>
        <w:t>Flink</w:t>
      </w:r>
      <w:proofErr w:type="spellEnd"/>
      <w:r w:rsidR="003D7A71">
        <w:rPr>
          <w:sz w:val="24"/>
        </w:rPr>
        <w:t xml:space="preserve"> Learning</w:t>
      </w:r>
      <w:r w:rsidR="00D36113">
        <w:rPr>
          <w:sz w:val="24"/>
        </w:rPr>
        <w:t xml:space="preserve">, </w:t>
      </w:r>
      <w:r w:rsidR="00D36113" w:rsidRPr="00D36113">
        <w:rPr>
          <w:i/>
          <w:sz w:val="24"/>
        </w:rPr>
        <w:t xml:space="preserve">Reading Skills for Today’s </w:t>
      </w:r>
      <w:r w:rsidR="00FE4AC8" w:rsidRPr="00D36113">
        <w:rPr>
          <w:i/>
          <w:sz w:val="24"/>
        </w:rPr>
        <w:t>Adults</w:t>
      </w:r>
      <w:r w:rsidR="00FE4AC8">
        <w:rPr>
          <w:sz w:val="24"/>
        </w:rPr>
        <w:t xml:space="preserve"> will</w:t>
      </w:r>
      <w:r w:rsidR="003D7A71">
        <w:rPr>
          <w:sz w:val="24"/>
        </w:rPr>
        <w:t xml:space="preserve"> become a source of revenue </w:t>
      </w:r>
      <w:r w:rsidR="00D36113">
        <w:rPr>
          <w:sz w:val="24"/>
        </w:rPr>
        <w:t xml:space="preserve">to both </w:t>
      </w:r>
      <w:proofErr w:type="spellStart"/>
      <w:r w:rsidR="00D36113">
        <w:rPr>
          <w:sz w:val="24"/>
        </w:rPr>
        <w:t>Flink</w:t>
      </w:r>
      <w:proofErr w:type="spellEnd"/>
      <w:r w:rsidR="00D36113">
        <w:rPr>
          <w:sz w:val="24"/>
        </w:rPr>
        <w:t xml:space="preserve"> Learning and the adult education p</w:t>
      </w:r>
      <w:r w:rsidR="003D7A71">
        <w:rPr>
          <w:sz w:val="24"/>
        </w:rPr>
        <w:t xml:space="preserve">rogram.  </w:t>
      </w:r>
      <w:r w:rsidRPr="00972678">
        <w:rPr>
          <w:sz w:val="24"/>
        </w:rPr>
        <w:t>While the content will still be available for free on the internet, the mobile application is set to be promoted to schoo</w:t>
      </w:r>
      <w:r w:rsidR="00D36113">
        <w:rPr>
          <w:sz w:val="24"/>
        </w:rPr>
        <w:t>ls and individuals for download</w:t>
      </w:r>
      <w:r w:rsidR="003D7A71">
        <w:rPr>
          <w:sz w:val="24"/>
        </w:rPr>
        <w:t xml:space="preserve">.  </w:t>
      </w:r>
      <w:r w:rsidR="001D278D">
        <w:rPr>
          <w:sz w:val="24"/>
        </w:rPr>
        <w:t xml:space="preserve"> </w:t>
      </w:r>
      <w:r w:rsidR="00336F55" w:rsidRPr="00972678">
        <w:rPr>
          <w:sz w:val="24"/>
        </w:rPr>
        <w:t xml:space="preserve">Since the format for the CNA curriculum will be modeled after </w:t>
      </w:r>
      <w:r w:rsidR="00336F55" w:rsidRPr="00D36113">
        <w:rPr>
          <w:i/>
          <w:sz w:val="24"/>
        </w:rPr>
        <w:t>Reading Skil</w:t>
      </w:r>
      <w:r w:rsidR="00D36113" w:rsidRPr="00D36113">
        <w:rPr>
          <w:i/>
          <w:sz w:val="24"/>
        </w:rPr>
        <w:t>l</w:t>
      </w:r>
      <w:r w:rsidR="00336F55" w:rsidRPr="00D36113">
        <w:rPr>
          <w:i/>
          <w:sz w:val="24"/>
        </w:rPr>
        <w:t>s for Today’s Adults</w:t>
      </w:r>
      <w:r w:rsidR="00336F55" w:rsidRPr="00972678">
        <w:rPr>
          <w:sz w:val="24"/>
        </w:rPr>
        <w:t xml:space="preserve">, </w:t>
      </w:r>
      <w:proofErr w:type="spellStart"/>
      <w:r w:rsidR="00336F55" w:rsidRPr="00972678">
        <w:rPr>
          <w:sz w:val="24"/>
        </w:rPr>
        <w:t>Flink</w:t>
      </w:r>
      <w:proofErr w:type="spellEnd"/>
      <w:r w:rsidR="00336F55" w:rsidRPr="00972678">
        <w:rPr>
          <w:sz w:val="24"/>
        </w:rPr>
        <w:t xml:space="preserve"> Learning will already have the platform created.  Because there is currently a lack of occupational content for widespread use, </w:t>
      </w:r>
      <w:proofErr w:type="spellStart"/>
      <w:r w:rsidR="00336F55" w:rsidRPr="00972678">
        <w:rPr>
          <w:sz w:val="24"/>
        </w:rPr>
        <w:t>Flink</w:t>
      </w:r>
      <w:proofErr w:type="spellEnd"/>
      <w:r w:rsidR="00336F55" w:rsidRPr="00972678">
        <w:rPr>
          <w:sz w:val="24"/>
        </w:rPr>
        <w:t xml:space="preserve"> Learning has expressed interest in also turning the CNA content into a mobile application.  With similar revenue generation for this application, the profits could then fund future projects to address CASAS 210-220 li</w:t>
      </w:r>
      <w:r w:rsidR="00D36113">
        <w:rPr>
          <w:sz w:val="24"/>
        </w:rPr>
        <w:t>teracy challenges and to develop</w:t>
      </w:r>
      <w:r w:rsidR="00336F55" w:rsidRPr="00972678">
        <w:rPr>
          <w:sz w:val="24"/>
        </w:rPr>
        <w:t xml:space="preserve"> content for other workforce needs.</w:t>
      </w:r>
      <w:r w:rsidRPr="00972678">
        <w:rPr>
          <w:sz w:val="24"/>
        </w:rPr>
        <w:t xml:space="preserve"> </w:t>
      </w:r>
    </w:p>
    <w:p w:rsidR="00972678" w:rsidRPr="00972678" w:rsidRDefault="00972678" w:rsidP="00E230FE">
      <w:pPr>
        <w:spacing w:line="480" w:lineRule="auto"/>
        <w:ind w:firstLine="720"/>
        <w:rPr>
          <w:sz w:val="24"/>
        </w:rPr>
      </w:pPr>
    </w:p>
    <w:p w:rsidR="003F435C" w:rsidRPr="00D36113" w:rsidRDefault="00CC1E78" w:rsidP="00E230FE">
      <w:pPr>
        <w:spacing w:line="480" w:lineRule="auto"/>
        <w:rPr>
          <w:b/>
          <w:sz w:val="24"/>
        </w:rPr>
      </w:pPr>
      <w:r w:rsidRPr="00D36113">
        <w:rPr>
          <w:b/>
          <w:sz w:val="24"/>
        </w:rPr>
        <w:t>Contact for more information:</w:t>
      </w:r>
    </w:p>
    <w:p w:rsidR="00D36113" w:rsidRDefault="00972678" w:rsidP="00D36113">
      <w:pPr>
        <w:spacing w:line="240" w:lineRule="auto"/>
        <w:rPr>
          <w:sz w:val="24"/>
        </w:rPr>
      </w:pPr>
      <w:r w:rsidRPr="00D36113">
        <w:rPr>
          <w:b/>
          <w:i/>
          <w:sz w:val="24"/>
        </w:rPr>
        <w:t>Pat Thomas</w:t>
      </w:r>
      <w:r w:rsidR="00D36113">
        <w:rPr>
          <w:sz w:val="24"/>
        </w:rPr>
        <w:t>—Coordinator, Marshall Adult Education</w:t>
      </w:r>
    </w:p>
    <w:p w:rsidR="00972678" w:rsidRPr="00972678" w:rsidRDefault="00F15374" w:rsidP="00D36113">
      <w:pPr>
        <w:spacing w:line="240" w:lineRule="auto"/>
        <w:rPr>
          <w:sz w:val="24"/>
        </w:rPr>
      </w:pPr>
      <w:hyperlink r:id="rId10" w:history="1">
        <w:r w:rsidR="00972678" w:rsidRPr="00972678">
          <w:rPr>
            <w:rStyle w:val="Hyperlink"/>
            <w:sz w:val="24"/>
          </w:rPr>
          <w:t>pthomas@starpoint.net</w:t>
        </w:r>
      </w:hyperlink>
    </w:p>
    <w:p w:rsidR="00972678" w:rsidRPr="00972678" w:rsidRDefault="00972678" w:rsidP="00D36113">
      <w:pPr>
        <w:spacing w:line="240" w:lineRule="auto"/>
        <w:rPr>
          <w:sz w:val="24"/>
        </w:rPr>
      </w:pPr>
      <w:r w:rsidRPr="00972678">
        <w:rPr>
          <w:sz w:val="24"/>
        </w:rPr>
        <w:t>Office</w:t>
      </w:r>
      <w:r w:rsidR="00D36113">
        <w:rPr>
          <w:sz w:val="24"/>
        </w:rPr>
        <w:t>:</w:t>
      </w:r>
      <w:r w:rsidRPr="00972678">
        <w:rPr>
          <w:sz w:val="24"/>
        </w:rPr>
        <w:t xml:space="preserve">   507-537-7046</w:t>
      </w:r>
    </w:p>
    <w:p w:rsidR="00972678" w:rsidRPr="00972678" w:rsidRDefault="00972678" w:rsidP="00D36113">
      <w:pPr>
        <w:spacing w:line="240" w:lineRule="auto"/>
        <w:rPr>
          <w:sz w:val="24"/>
        </w:rPr>
      </w:pPr>
      <w:r w:rsidRPr="00972678">
        <w:rPr>
          <w:sz w:val="24"/>
        </w:rPr>
        <w:t>Cell</w:t>
      </w:r>
      <w:r w:rsidR="00D36113">
        <w:rPr>
          <w:sz w:val="24"/>
        </w:rPr>
        <w:t xml:space="preserve">:       </w:t>
      </w:r>
      <w:r w:rsidRPr="00972678">
        <w:rPr>
          <w:sz w:val="24"/>
        </w:rPr>
        <w:t>507-829-3448</w:t>
      </w:r>
    </w:p>
    <w:p w:rsidR="003F435C" w:rsidRPr="00972678" w:rsidRDefault="003F435C" w:rsidP="00E230FE">
      <w:pPr>
        <w:spacing w:line="480" w:lineRule="auto"/>
        <w:rPr>
          <w:sz w:val="24"/>
        </w:rPr>
      </w:pPr>
    </w:p>
    <w:p w:rsidR="003F435C" w:rsidRPr="00972678" w:rsidRDefault="003F435C" w:rsidP="00E230FE">
      <w:pPr>
        <w:spacing w:line="480" w:lineRule="auto"/>
        <w:rPr>
          <w:sz w:val="24"/>
        </w:rPr>
      </w:pPr>
    </w:p>
    <w:sectPr w:rsidR="003F435C" w:rsidRPr="00972678" w:rsidSect="0097267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74" w:rsidRDefault="00F15374" w:rsidP="00972678">
      <w:pPr>
        <w:spacing w:line="240" w:lineRule="auto"/>
      </w:pPr>
      <w:r>
        <w:separator/>
      </w:r>
    </w:p>
  </w:endnote>
  <w:endnote w:type="continuationSeparator" w:id="0">
    <w:p w:rsidR="00F15374" w:rsidRDefault="00F15374" w:rsidP="00972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74" w:rsidRDefault="00F15374" w:rsidP="00972678">
      <w:pPr>
        <w:spacing w:line="240" w:lineRule="auto"/>
      </w:pPr>
      <w:r>
        <w:separator/>
      </w:r>
    </w:p>
  </w:footnote>
  <w:footnote w:type="continuationSeparator" w:id="0">
    <w:p w:rsidR="00F15374" w:rsidRDefault="00F15374" w:rsidP="009726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78" w:rsidRPr="00972678" w:rsidRDefault="00B54C6B" w:rsidP="00972678">
    <w:pPr>
      <w:pStyle w:val="Header"/>
      <w:jc w:val="right"/>
      <w:rPr>
        <w:sz w:val="24"/>
      </w:rPr>
    </w:pPr>
    <w:r w:rsidRPr="00972678">
      <w:rPr>
        <w:sz w:val="24"/>
      </w:rPr>
      <w:fldChar w:fldCharType="begin"/>
    </w:r>
    <w:r w:rsidR="00972678" w:rsidRPr="00972678">
      <w:rPr>
        <w:sz w:val="24"/>
      </w:rPr>
      <w:instrText xml:space="preserve"> PAGE   \* MERGEFORMAT </w:instrText>
    </w:r>
    <w:r w:rsidRPr="00972678">
      <w:rPr>
        <w:sz w:val="24"/>
      </w:rPr>
      <w:fldChar w:fldCharType="separate"/>
    </w:r>
    <w:r w:rsidR="00B4363C">
      <w:rPr>
        <w:noProof/>
        <w:sz w:val="24"/>
      </w:rPr>
      <w:t>2</w:t>
    </w:r>
    <w:r w:rsidRPr="00972678">
      <w:rPr>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99"/>
    <w:rsid w:val="00014A5F"/>
    <w:rsid w:val="00040225"/>
    <w:rsid w:val="00070784"/>
    <w:rsid w:val="000D5D24"/>
    <w:rsid w:val="000F5983"/>
    <w:rsid w:val="00100AFA"/>
    <w:rsid w:val="00141382"/>
    <w:rsid w:val="001C4D3E"/>
    <w:rsid w:val="001D278D"/>
    <w:rsid w:val="001E494B"/>
    <w:rsid w:val="00236D2F"/>
    <w:rsid w:val="00296CB6"/>
    <w:rsid w:val="002B091D"/>
    <w:rsid w:val="002B1C33"/>
    <w:rsid w:val="002C0484"/>
    <w:rsid w:val="002F55D0"/>
    <w:rsid w:val="00312EC7"/>
    <w:rsid w:val="00336F55"/>
    <w:rsid w:val="00367254"/>
    <w:rsid w:val="00385581"/>
    <w:rsid w:val="003D77D6"/>
    <w:rsid w:val="003D7A71"/>
    <w:rsid w:val="003F42D1"/>
    <w:rsid w:val="003F435C"/>
    <w:rsid w:val="004218A9"/>
    <w:rsid w:val="00421A08"/>
    <w:rsid w:val="004C4270"/>
    <w:rsid w:val="00515F4F"/>
    <w:rsid w:val="0053642D"/>
    <w:rsid w:val="00544BA6"/>
    <w:rsid w:val="00551366"/>
    <w:rsid w:val="005638BC"/>
    <w:rsid w:val="0056448F"/>
    <w:rsid w:val="0058650A"/>
    <w:rsid w:val="005F6786"/>
    <w:rsid w:val="00607F88"/>
    <w:rsid w:val="00625075"/>
    <w:rsid w:val="00654B4F"/>
    <w:rsid w:val="00664AB9"/>
    <w:rsid w:val="006717F1"/>
    <w:rsid w:val="00687299"/>
    <w:rsid w:val="006F5530"/>
    <w:rsid w:val="006F5F92"/>
    <w:rsid w:val="00733DD0"/>
    <w:rsid w:val="007515C9"/>
    <w:rsid w:val="00797FD4"/>
    <w:rsid w:val="007B0E4E"/>
    <w:rsid w:val="007D105C"/>
    <w:rsid w:val="00823078"/>
    <w:rsid w:val="00833680"/>
    <w:rsid w:val="0085176E"/>
    <w:rsid w:val="00855724"/>
    <w:rsid w:val="00872704"/>
    <w:rsid w:val="00892090"/>
    <w:rsid w:val="009023F7"/>
    <w:rsid w:val="00941C8D"/>
    <w:rsid w:val="00965EEF"/>
    <w:rsid w:val="00972678"/>
    <w:rsid w:val="00994B94"/>
    <w:rsid w:val="00B345F6"/>
    <w:rsid w:val="00B4363C"/>
    <w:rsid w:val="00B54C6B"/>
    <w:rsid w:val="00B640DD"/>
    <w:rsid w:val="00C13959"/>
    <w:rsid w:val="00CB2F95"/>
    <w:rsid w:val="00CC1E78"/>
    <w:rsid w:val="00CE5DCB"/>
    <w:rsid w:val="00D36113"/>
    <w:rsid w:val="00D92C30"/>
    <w:rsid w:val="00DE56FB"/>
    <w:rsid w:val="00E230FE"/>
    <w:rsid w:val="00E24F30"/>
    <w:rsid w:val="00E275BA"/>
    <w:rsid w:val="00E90FD5"/>
    <w:rsid w:val="00E93AF9"/>
    <w:rsid w:val="00F15374"/>
    <w:rsid w:val="00F304CF"/>
    <w:rsid w:val="00FD0CD3"/>
    <w:rsid w:val="00FE4AC8"/>
    <w:rsid w:val="00FE566E"/>
    <w:rsid w:val="00FE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704"/>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3680"/>
    <w:rPr>
      <w:color w:val="0000FF" w:themeColor="hyperlink"/>
      <w:u w:val="single"/>
    </w:rPr>
  </w:style>
  <w:style w:type="paragraph" w:styleId="Header">
    <w:name w:val="header"/>
    <w:basedOn w:val="Normal"/>
    <w:link w:val="HeaderChar"/>
    <w:uiPriority w:val="99"/>
    <w:unhideWhenUsed/>
    <w:rsid w:val="00972678"/>
    <w:pPr>
      <w:tabs>
        <w:tab w:val="center" w:pos="4680"/>
        <w:tab w:val="right" w:pos="9360"/>
      </w:tabs>
      <w:spacing w:line="240" w:lineRule="auto"/>
    </w:pPr>
  </w:style>
  <w:style w:type="character" w:customStyle="1" w:styleId="HeaderChar">
    <w:name w:val="Header Char"/>
    <w:basedOn w:val="DefaultParagraphFont"/>
    <w:link w:val="Header"/>
    <w:uiPriority w:val="99"/>
    <w:rsid w:val="00972678"/>
  </w:style>
  <w:style w:type="paragraph" w:styleId="Footer">
    <w:name w:val="footer"/>
    <w:basedOn w:val="Normal"/>
    <w:link w:val="FooterChar"/>
    <w:uiPriority w:val="99"/>
    <w:unhideWhenUsed/>
    <w:rsid w:val="00972678"/>
    <w:pPr>
      <w:tabs>
        <w:tab w:val="center" w:pos="4680"/>
        <w:tab w:val="right" w:pos="9360"/>
      </w:tabs>
      <w:spacing w:line="240" w:lineRule="auto"/>
    </w:pPr>
  </w:style>
  <w:style w:type="character" w:customStyle="1" w:styleId="FooterChar">
    <w:name w:val="Footer Char"/>
    <w:basedOn w:val="DefaultParagraphFont"/>
    <w:link w:val="Footer"/>
    <w:uiPriority w:val="99"/>
    <w:rsid w:val="00972678"/>
  </w:style>
  <w:style w:type="paragraph" w:styleId="BalloonText">
    <w:name w:val="Balloon Text"/>
    <w:basedOn w:val="Normal"/>
    <w:link w:val="BalloonTextChar"/>
    <w:uiPriority w:val="99"/>
    <w:semiHidden/>
    <w:unhideWhenUsed/>
    <w:rsid w:val="00E230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704"/>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3680"/>
    <w:rPr>
      <w:color w:val="0000FF" w:themeColor="hyperlink"/>
      <w:u w:val="single"/>
    </w:rPr>
  </w:style>
  <w:style w:type="paragraph" w:styleId="Header">
    <w:name w:val="header"/>
    <w:basedOn w:val="Normal"/>
    <w:link w:val="HeaderChar"/>
    <w:uiPriority w:val="99"/>
    <w:unhideWhenUsed/>
    <w:rsid w:val="00972678"/>
    <w:pPr>
      <w:tabs>
        <w:tab w:val="center" w:pos="4680"/>
        <w:tab w:val="right" w:pos="9360"/>
      </w:tabs>
      <w:spacing w:line="240" w:lineRule="auto"/>
    </w:pPr>
  </w:style>
  <w:style w:type="character" w:customStyle="1" w:styleId="HeaderChar">
    <w:name w:val="Header Char"/>
    <w:basedOn w:val="DefaultParagraphFont"/>
    <w:link w:val="Header"/>
    <w:uiPriority w:val="99"/>
    <w:rsid w:val="00972678"/>
  </w:style>
  <w:style w:type="paragraph" w:styleId="Footer">
    <w:name w:val="footer"/>
    <w:basedOn w:val="Normal"/>
    <w:link w:val="FooterChar"/>
    <w:uiPriority w:val="99"/>
    <w:unhideWhenUsed/>
    <w:rsid w:val="00972678"/>
    <w:pPr>
      <w:tabs>
        <w:tab w:val="center" w:pos="4680"/>
        <w:tab w:val="right" w:pos="9360"/>
      </w:tabs>
      <w:spacing w:line="240" w:lineRule="auto"/>
    </w:pPr>
  </w:style>
  <w:style w:type="character" w:customStyle="1" w:styleId="FooterChar">
    <w:name w:val="Footer Char"/>
    <w:basedOn w:val="DefaultParagraphFont"/>
    <w:link w:val="Footer"/>
    <w:uiPriority w:val="99"/>
    <w:rsid w:val="00972678"/>
  </w:style>
  <w:style w:type="paragraph" w:styleId="BalloonText">
    <w:name w:val="Balloon Text"/>
    <w:basedOn w:val="Normal"/>
    <w:link w:val="BalloonTextChar"/>
    <w:uiPriority w:val="99"/>
    <w:semiHidden/>
    <w:unhideWhenUsed/>
    <w:rsid w:val="00E230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8946">
      <w:bodyDiv w:val="1"/>
      <w:marLeft w:val="0"/>
      <w:marRight w:val="0"/>
      <w:marTop w:val="0"/>
      <w:marBottom w:val="0"/>
      <w:divBdr>
        <w:top w:val="none" w:sz="0" w:space="0" w:color="auto"/>
        <w:left w:val="none" w:sz="0" w:space="0" w:color="auto"/>
        <w:bottom w:val="none" w:sz="0" w:space="0" w:color="auto"/>
        <w:right w:val="none" w:sz="0" w:space="0" w:color="auto"/>
      </w:divBdr>
    </w:div>
    <w:div w:id="202712751">
      <w:bodyDiv w:val="1"/>
      <w:marLeft w:val="0"/>
      <w:marRight w:val="0"/>
      <w:marTop w:val="0"/>
      <w:marBottom w:val="0"/>
      <w:divBdr>
        <w:top w:val="none" w:sz="0" w:space="0" w:color="auto"/>
        <w:left w:val="none" w:sz="0" w:space="0" w:color="auto"/>
        <w:bottom w:val="none" w:sz="0" w:space="0" w:color="auto"/>
        <w:right w:val="none" w:sz="0" w:space="0" w:color="auto"/>
      </w:divBdr>
    </w:div>
    <w:div w:id="276570752">
      <w:bodyDiv w:val="1"/>
      <w:marLeft w:val="0"/>
      <w:marRight w:val="0"/>
      <w:marTop w:val="0"/>
      <w:marBottom w:val="0"/>
      <w:divBdr>
        <w:top w:val="none" w:sz="0" w:space="0" w:color="auto"/>
        <w:left w:val="none" w:sz="0" w:space="0" w:color="auto"/>
        <w:bottom w:val="none" w:sz="0" w:space="0" w:color="auto"/>
        <w:right w:val="none" w:sz="0" w:space="0" w:color="auto"/>
      </w:divBdr>
    </w:div>
    <w:div w:id="372075978">
      <w:bodyDiv w:val="1"/>
      <w:marLeft w:val="0"/>
      <w:marRight w:val="0"/>
      <w:marTop w:val="0"/>
      <w:marBottom w:val="0"/>
      <w:divBdr>
        <w:top w:val="none" w:sz="0" w:space="0" w:color="auto"/>
        <w:left w:val="none" w:sz="0" w:space="0" w:color="auto"/>
        <w:bottom w:val="none" w:sz="0" w:space="0" w:color="auto"/>
        <w:right w:val="none" w:sz="0" w:space="0" w:color="auto"/>
      </w:divBdr>
    </w:div>
    <w:div w:id="1589730072">
      <w:bodyDiv w:val="1"/>
      <w:marLeft w:val="0"/>
      <w:marRight w:val="0"/>
      <w:marTop w:val="0"/>
      <w:marBottom w:val="0"/>
      <w:divBdr>
        <w:top w:val="none" w:sz="0" w:space="0" w:color="auto"/>
        <w:left w:val="none" w:sz="0" w:space="0" w:color="auto"/>
        <w:bottom w:val="none" w:sz="0" w:space="0" w:color="auto"/>
        <w:right w:val="none" w:sz="0" w:space="0" w:color="auto"/>
      </w:divBdr>
    </w:div>
    <w:div w:id="1803841382">
      <w:bodyDiv w:val="1"/>
      <w:marLeft w:val="0"/>
      <w:marRight w:val="0"/>
      <w:marTop w:val="0"/>
      <w:marBottom w:val="0"/>
      <w:divBdr>
        <w:top w:val="none" w:sz="0" w:space="0" w:color="auto"/>
        <w:left w:val="none" w:sz="0" w:space="0" w:color="auto"/>
        <w:bottom w:val="none" w:sz="0" w:space="0" w:color="auto"/>
        <w:right w:val="none" w:sz="0" w:space="0" w:color="auto"/>
      </w:divBdr>
    </w:div>
    <w:div w:id="18971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thomas@starpoint.net" TargetMode="External"/><Relationship Id="rId4" Type="http://schemas.openxmlformats.org/officeDocument/2006/relationships/settings" Target="settings.xml"/><Relationship Id="rId9" Type="http://schemas.openxmlformats.org/officeDocument/2006/relationships/hyperlink" Target="http://www.marshalladulteducation.org/index.php/reading-skills-for-todays-ad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DDEF-323C-48E4-AADF-752EB941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Marshall ABE</cp:lastModifiedBy>
  <cp:revision>2</cp:revision>
  <cp:lastPrinted>2015-11-13T14:14:00Z</cp:lastPrinted>
  <dcterms:created xsi:type="dcterms:W3CDTF">2016-01-27T14:53:00Z</dcterms:created>
  <dcterms:modified xsi:type="dcterms:W3CDTF">2016-01-27T14:53:00Z</dcterms:modified>
</cp:coreProperties>
</file>